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טל ויסמן בן שחר</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F97242" w:rsidP="000F2247">
            <w:pPr>
              <w:suppressLineNumbers/>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r w:rsidR="009705CC">
              <w:rPr>
                <w:rFonts w:ascii="Arial" w:hAnsi="Arial"/>
                <w:b/>
                <w:bCs/>
                <w:sz w:val="26"/>
                <w:szCs w:val="26"/>
                <w:rtl/>
              </w:rPr>
              <w:t>ע"י ב"כ עוה"ד</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4678" w:type="dxa"/>
            <w:tcBorders>
              <w:top w:val="nil"/>
              <w:left w:val="nil"/>
              <w:bottom w:val="nil"/>
              <w:right w:val="nil"/>
            </w:tcBorders>
            <w:vAlign w:val="center"/>
          </w:tcPr>
          <w:p w:rsidR="000F2247" w:rsidRDefault="0093401D" w:rsidP="000F2247">
            <w:pPr>
              <w:suppressLineNumbers/>
            </w:pPr>
            <w:r>
              <w:rPr>
                <w:rFonts w:ascii="Arial" w:hAnsi="Arial" w:hint="cs"/>
                <w:b/>
                <w:bCs/>
                <w:sz w:val="26"/>
                <w:szCs w:val="26"/>
                <w:rtl/>
              </w:rPr>
              <w:t>פלוני</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507694">
            <w:pPr>
              <w:jc w:val="center"/>
              <w:rPr>
                <w:rFonts w:ascii="David" w:hAnsi="David"/>
                <w:sz w:val="32"/>
                <w:szCs w:val="32"/>
                <w:u w:val="single"/>
                <w:rtl/>
              </w:rPr>
            </w:pPr>
          </w:p>
        </w:tc>
      </w:tr>
    </w:tbl>
    <w:p w:rsidR="0093401D" w:rsidRDefault="0093401D" w:rsidP="0093401D">
      <w:pPr>
        <w:pStyle w:val="12"/>
        <w:suppressLineNumbers/>
        <w:rPr>
          <w:b w:val="0"/>
          <w:bCs w:val="0"/>
          <w:u w:val="none"/>
        </w:rPr>
      </w:pPr>
      <w:r>
        <w:rPr>
          <w:rtl/>
        </w:rPr>
        <w:t>נוכחים:</w:t>
      </w:r>
    </w:p>
    <w:p w:rsidR="0093401D" w:rsidRDefault="0093401D" w:rsidP="0093401D">
      <w:pPr>
        <w:pStyle w:val="12"/>
        <w:suppressLineNumbers/>
        <w:rPr>
          <w:b w:val="0"/>
          <w:bCs w:val="0"/>
          <w:u w:val="none"/>
        </w:rPr>
      </w:pPr>
      <w:r>
        <w:rPr>
          <w:b w:val="0"/>
          <w:bCs w:val="0"/>
          <w:u w:val="none"/>
          <w:rtl/>
        </w:rPr>
        <w:t>מטעם המאשימה – הגב' רביד אוחנה, מתמחה</w:t>
      </w:r>
    </w:p>
    <w:p w:rsidR="0093401D" w:rsidRDefault="0093401D" w:rsidP="001146B4">
      <w:pPr>
        <w:pStyle w:val="12"/>
        <w:suppressLineNumbers/>
        <w:rPr>
          <w:b w:val="0"/>
          <w:bCs w:val="0"/>
          <w:u w:val="none"/>
          <w:rtl/>
        </w:rPr>
      </w:pPr>
      <w:r>
        <w:rPr>
          <w:b w:val="0"/>
          <w:bCs w:val="0"/>
          <w:u w:val="none"/>
          <w:rtl/>
        </w:rPr>
        <w:t xml:space="preserve">מטעם הנאשם – בעצמו, בליווי הוריו ומדריך מהוסטל </w:t>
      </w:r>
      <w:r w:rsidR="001146B4">
        <w:rPr>
          <w:rFonts w:ascii="David" w:hAnsi="David" w:hint="cs"/>
        </w:rPr>
        <w:t>XXX</w:t>
      </w:r>
      <w:r>
        <w:rPr>
          <w:b w:val="0"/>
          <w:bCs w:val="0"/>
          <w:u w:val="none"/>
          <w:rtl/>
        </w:rPr>
        <w:t>, וע"י ב"כ עו"ד ויסאל כנאנה</w:t>
      </w:r>
    </w:p>
    <w:p w:rsidR="0093401D" w:rsidRDefault="0093401D" w:rsidP="0093401D">
      <w:pPr>
        <w:pStyle w:val="12"/>
        <w:suppressLineNumbers/>
        <w:rPr>
          <w:b w:val="0"/>
          <w:bCs w:val="0"/>
          <w:u w:val="none"/>
          <w:rtl/>
        </w:rPr>
      </w:pPr>
      <w:r>
        <w:rPr>
          <w:b w:val="0"/>
          <w:bCs w:val="0"/>
          <w:u w:val="none"/>
          <w:rtl/>
        </w:rPr>
        <w:t>מטעם שירות המבחן, הגב' היא חדאד</w:t>
      </w:r>
    </w:p>
    <w:p w:rsidR="0093401D" w:rsidRDefault="0093401D" w:rsidP="0093401D">
      <w:pPr>
        <w:pStyle w:val="12"/>
        <w:suppressLineNumbers/>
        <w:rPr>
          <w:b w:val="0"/>
          <w:bCs w:val="0"/>
          <w:u w:val="none"/>
          <w:rtl/>
        </w:rPr>
      </w:pPr>
      <w:r>
        <w:rPr>
          <w:b w:val="0"/>
          <w:bCs w:val="0"/>
          <w:u w:val="none"/>
          <w:rtl/>
        </w:rPr>
        <w:t>המתורגמן, מר ספואן פאהום</w:t>
      </w:r>
    </w:p>
    <w:p w:rsidR="0093401D" w:rsidRDefault="0093401D" w:rsidP="0093401D">
      <w:pPr>
        <w:pStyle w:val="12"/>
        <w:suppressLineNumbers/>
        <w:rPr>
          <w:b w:val="0"/>
          <w:bCs w:val="0"/>
          <w:u w:val="none"/>
          <w:rtl/>
        </w:rPr>
      </w:pPr>
    </w:p>
    <w:p w:rsidR="0093401D" w:rsidRDefault="0093401D" w:rsidP="0093401D">
      <w:pPr>
        <w:pStyle w:val="12"/>
        <w:suppressLineNumbers/>
        <w:jc w:val="center"/>
        <w:rPr>
          <w:sz w:val="32"/>
          <w:szCs w:val="32"/>
          <w:rtl/>
        </w:rPr>
      </w:pPr>
      <w:r>
        <w:rPr>
          <w:sz w:val="32"/>
          <w:szCs w:val="32"/>
          <w:rtl/>
        </w:rPr>
        <w:t>פרוטוקול</w:t>
      </w:r>
    </w:p>
    <w:p w:rsidR="0093401D" w:rsidRDefault="00E2131F" w:rsidP="0093401D">
      <w:pPr>
        <w:spacing w:line="360" w:lineRule="auto"/>
        <w:jc w:val="both"/>
        <w:rPr>
          <w:rtl/>
        </w:rPr>
      </w:pPr>
      <w:r>
        <w:rPr>
          <w:rFonts w:hint="cs"/>
          <w:rtl/>
        </w:rPr>
        <w:t>נשמט</w:t>
      </w:r>
    </w:p>
    <w:p w:rsidR="0093401D" w:rsidRDefault="0093401D" w:rsidP="0093401D">
      <w:pPr>
        <w:spacing w:line="360" w:lineRule="auto"/>
        <w:jc w:val="both"/>
        <w:rPr>
          <w:b/>
          <w:bCs/>
          <w:rtl/>
        </w:rPr>
      </w:pPr>
    </w:p>
    <w:p w:rsidR="0093401D" w:rsidRDefault="0093401D" w:rsidP="0093401D">
      <w:pPr>
        <w:jc w:val="both"/>
        <w:rPr>
          <w:b/>
          <w:bCs/>
          <w:sz w:val="6"/>
          <w:szCs w:val="6"/>
          <w:rtl/>
        </w:rPr>
      </w:pPr>
      <w:r>
        <w:rPr>
          <w:rFonts w:hint="cs"/>
          <w:b/>
          <w:bCs/>
          <w:sz w:val="6"/>
          <w:szCs w:val="6"/>
          <w:rtl/>
        </w:rPr>
        <w:t>&lt;#2#&gt;</w:t>
      </w:r>
    </w:p>
    <w:p w:rsidR="00623AE9" w:rsidRDefault="0093401D" w:rsidP="00623AE9">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623AE9" w:rsidRDefault="00623AE9" w:rsidP="00623AE9">
      <w:pPr>
        <w:spacing w:line="360" w:lineRule="auto"/>
        <w:jc w:val="center"/>
        <w:rPr>
          <w:rFonts w:ascii="Arial" w:hAnsi="Arial"/>
          <w:b/>
          <w:bCs/>
          <w:sz w:val="28"/>
          <w:szCs w:val="28"/>
          <w:u w:val="single"/>
          <w:rtl/>
        </w:rPr>
      </w:pPr>
      <w:r>
        <w:rPr>
          <w:rFonts w:ascii="Arial" w:hAnsi="Arial" w:hint="cs"/>
          <w:b/>
          <w:bCs/>
          <w:sz w:val="28"/>
          <w:szCs w:val="28"/>
          <w:u w:val="single"/>
          <w:rtl/>
        </w:rPr>
        <w:t xml:space="preserve">נוסח מותר לפרסום </w:t>
      </w:r>
    </w:p>
    <w:p w:rsidR="0093401D" w:rsidRDefault="0093401D" w:rsidP="0093401D">
      <w:pPr>
        <w:spacing w:line="360" w:lineRule="auto"/>
        <w:jc w:val="both"/>
        <w:rPr>
          <w:rFonts w:ascii="Arial" w:hAnsi="Arial"/>
          <w:rtl/>
        </w:rPr>
      </w:pPr>
    </w:p>
    <w:p w:rsidR="0093401D" w:rsidRDefault="0093401D" w:rsidP="0093401D">
      <w:pPr>
        <w:jc w:val="both"/>
        <w:rPr>
          <w:rFonts w:ascii="David" w:hAnsi="David"/>
        </w:rPr>
      </w:pPr>
      <w:r>
        <w:rPr>
          <w:rFonts w:hint="cs"/>
          <w:b/>
          <w:bCs/>
          <w:rtl/>
        </w:rPr>
        <w:t>מבוא</w:t>
      </w:r>
      <w:r>
        <w:rPr>
          <w:rFonts w:hint="cs"/>
          <w:rtl/>
        </w:rPr>
        <w:t xml:space="preserve"> : </w:t>
      </w:r>
    </w:p>
    <w:p w:rsidR="0093401D" w:rsidRDefault="0093401D" w:rsidP="0093401D">
      <w:pPr>
        <w:jc w:val="both"/>
        <w:rPr>
          <w:color w:val="FF0000"/>
        </w:rPr>
      </w:pPr>
    </w:p>
    <w:p w:rsidR="0093401D" w:rsidRDefault="0093401D" w:rsidP="001144A3">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הצעיר שבפניי, יליד </w:t>
      </w:r>
      <w:r w:rsidR="001144A3" w:rsidRPr="001144A3">
        <w:rPr>
          <w:rFonts w:ascii="David" w:hAnsi="David" w:cs="David"/>
          <w:rtl/>
        </w:rPr>
        <w:t>20.2.2001</w:t>
      </w:r>
      <w:r>
        <w:rPr>
          <w:rFonts w:ascii="David" w:hAnsi="David" w:cs="David"/>
          <w:sz w:val="24"/>
          <w:szCs w:val="24"/>
          <w:rtl/>
        </w:rPr>
        <w:t xml:space="preserve">, הודה בעובדות כתב אישום מתוקן המייחס לו עבירה של </w:t>
      </w:r>
      <w:r>
        <w:rPr>
          <w:rFonts w:ascii="David" w:hAnsi="David" w:cs="David"/>
          <w:b/>
          <w:bCs/>
          <w:sz w:val="24"/>
          <w:szCs w:val="24"/>
          <w:rtl/>
        </w:rPr>
        <w:t>מעשה מגונה בנסיבות מחמירות</w:t>
      </w:r>
      <w:r>
        <w:rPr>
          <w:rFonts w:ascii="David" w:hAnsi="David" w:cs="David"/>
          <w:sz w:val="24"/>
          <w:szCs w:val="24"/>
          <w:rtl/>
        </w:rPr>
        <w:t xml:space="preserve"> – עבירה לפי סעיף 348(ב) יחד עם סעיף 345(ב)(1) + 345(א)(1) לחוק העונשין, התשל"ז – 1977 (להלן: "</w:t>
      </w:r>
      <w:r>
        <w:rPr>
          <w:rFonts w:ascii="David" w:hAnsi="David" w:cs="David"/>
          <w:b/>
          <w:bCs/>
          <w:sz w:val="24"/>
          <w:szCs w:val="24"/>
          <w:rtl/>
        </w:rPr>
        <w:t>חוק העונשין</w:t>
      </w:r>
      <w:r>
        <w:rPr>
          <w:rFonts w:ascii="David" w:hAnsi="David" w:cs="David"/>
          <w:sz w:val="24"/>
          <w:szCs w:val="24"/>
          <w:rtl/>
        </w:rPr>
        <w:t xml:space="preserve">"). </w:t>
      </w:r>
    </w:p>
    <w:p w:rsidR="0093401D" w:rsidRDefault="0093401D" w:rsidP="0093401D">
      <w:pPr>
        <w:spacing w:line="360" w:lineRule="auto"/>
        <w:ind w:left="360"/>
        <w:jc w:val="both"/>
        <w:rPr>
          <w:rFonts w:ascii="David" w:hAnsi="David"/>
          <w:color w:val="FF0000"/>
          <w:rtl/>
        </w:rPr>
      </w:pPr>
    </w:p>
    <w:p w:rsidR="0093401D" w:rsidRDefault="0093401D" w:rsidP="0093401D">
      <w:pPr>
        <w:spacing w:line="360" w:lineRule="auto"/>
        <w:jc w:val="both"/>
        <w:rPr>
          <w:b/>
          <w:bCs/>
          <w:rtl/>
        </w:rPr>
      </w:pPr>
      <w:r>
        <w:rPr>
          <w:rFonts w:hint="cs"/>
          <w:b/>
          <w:bCs/>
          <w:rtl/>
        </w:rPr>
        <w:t xml:space="preserve">על פי עובדות כתב האישום : </w:t>
      </w:r>
    </w:p>
    <w:p w:rsidR="0093401D" w:rsidRDefault="0093401D" w:rsidP="0093401D">
      <w:pPr>
        <w:spacing w:line="360" w:lineRule="auto"/>
        <w:jc w:val="both"/>
        <w:rPr>
          <w:b/>
          <w:bCs/>
          <w:rtl/>
        </w:rPr>
      </w:pPr>
    </w:p>
    <w:p w:rsidR="0093401D" w:rsidRDefault="0093401D" w:rsidP="004F6DBF">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ביום 5.8.2018, בשעה 13:30 או בסמוך לכך, שהתה ס. ילידת </w:t>
      </w:r>
      <w:r w:rsidR="004F6DBF">
        <w:rPr>
          <w:rFonts w:ascii="David" w:hAnsi="David" w:cs="David" w:hint="cs"/>
          <w:sz w:val="24"/>
          <w:szCs w:val="24"/>
        </w:rPr>
        <w:t>XXX</w:t>
      </w:r>
      <w:r w:rsidR="004F6DBF">
        <w:rPr>
          <w:rFonts w:ascii="David" w:hAnsi="David" w:cs="David"/>
          <w:sz w:val="24"/>
          <w:szCs w:val="24"/>
          <w:rtl/>
        </w:rPr>
        <w:t xml:space="preserve"> </w:t>
      </w:r>
      <w:r>
        <w:rPr>
          <w:rFonts w:ascii="David" w:hAnsi="David" w:cs="David"/>
          <w:sz w:val="24"/>
          <w:szCs w:val="24"/>
          <w:rtl/>
        </w:rPr>
        <w:t>(להלן: "</w:t>
      </w:r>
      <w:r>
        <w:rPr>
          <w:rFonts w:ascii="David" w:hAnsi="David" w:cs="David"/>
          <w:b/>
          <w:bCs/>
          <w:sz w:val="24"/>
          <w:szCs w:val="24"/>
          <w:rtl/>
        </w:rPr>
        <w:t>ס.</w:t>
      </w:r>
      <w:r>
        <w:rPr>
          <w:rFonts w:ascii="David" w:hAnsi="David" w:cs="David"/>
          <w:sz w:val="24"/>
          <w:szCs w:val="24"/>
          <w:rtl/>
        </w:rPr>
        <w:t xml:space="preserve">") בבריכה העירונית </w:t>
      </w:r>
      <w:r w:rsidR="004F6DBF">
        <w:rPr>
          <w:rFonts w:ascii="David" w:hAnsi="David" w:cs="David" w:hint="cs"/>
          <w:sz w:val="24"/>
          <w:szCs w:val="24"/>
        </w:rPr>
        <w:t>XXX</w:t>
      </w:r>
      <w:r w:rsidR="004F6DBF">
        <w:rPr>
          <w:rFonts w:ascii="David" w:hAnsi="David" w:cs="David"/>
          <w:sz w:val="24"/>
          <w:szCs w:val="24"/>
          <w:rtl/>
        </w:rPr>
        <w:t xml:space="preserve"> </w:t>
      </w:r>
      <w:r>
        <w:rPr>
          <w:rFonts w:ascii="David" w:hAnsi="David" w:cs="David"/>
          <w:sz w:val="24"/>
          <w:szCs w:val="24"/>
          <w:rtl/>
        </w:rPr>
        <w:t>(להלן: "</w:t>
      </w:r>
      <w:r>
        <w:rPr>
          <w:rFonts w:ascii="David" w:hAnsi="David" w:cs="David"/>
          <w:b/>
          <w:bCs/>
          <w:sz w:val="24"/>
          <w:szCs w:val="24"/>
          <w:rtl/>
        </w:rPr>
        <w:t>הבריכה</w:t>
      </w:r>
      <w:r>
        <w:rPr>
          <w:rFonts w:ascii="David" w:hAnsi="David" w:cs="David"/>
          <w:sz w:val="24"/>
          <w:szCs w:val="24"/>
          <w:rtl/>
        </w:rPr>
        <w:t>"), יחד עם אביה ואחיה (להלן ביחד "</w:t>
      </w:r>
      <w:r>
        <w:rPr>
          <w:rFonts w:ascii="David" w:hAnsi="David" w:cs="David"/>
          <w:b/>
          <w:bCs/>
          <w:sz w:val="24"/>
          <w:szCs w:val="24"/>
          <w:rtl/>
        </w:rPr>
        <w:t>בני המשפחה</w:t>
      </w:r>
      <w:r>
        <w:rPr>
          <w:rFonts w:ascii="David" w:hAnsi="David" w:cs="David"/>
          <w:sz w:val="24"/>
          <w:szCs w:val="24"/>
          <w:rtl/>
        </w:rPr>
        <w:t xml:space="preserve">"). </w:t>
      </w:r>
    </w:p>
    <w:p w:rsidR="0093401D" w:rsidRDefault="0093401D" w:rsidP="0093401D">
      <w:pPr>
        <w:pStyle w:val="ab"/>
        <w:spacing w:line="360" w:lineRule="auto"/>
        <w:jc w:val="both"/>
        <w:rPr>
          <w:rFonts w:ascii="David" w:hAnsi="David" w:cs="David"/>
          <w:sz w:val="24"/>
          <w:szCs w:val="24"/>
        </w:rPr>
      </w:pPr>
    </w:p>
    <w:p w:rsidR="0093401D" w:rsidRDefault="0093401D" w:rsidP="0093401D">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בעת ששהו במים בני המשפחה, ומבלי שהייתה היכרות מוקדמת ביניהם לבין הנאשם, הבחינו בו צופה בהם והזמינו אותו לשחק עימם בכדור. </w:t>
      </w:r>
    </w:p>
    <w:p w:rsidR="0093401D" w:rsidRDefault="0093401D" w:rsidP="0093401D">
      <w:pPr>
        <w:pStyle w:val="ab"/>
        <w:jc w:val="both"/>
        <w:rPr>
          <w:rFonts w:ascii="David" w:hAnsi="David" w:cs="David"/>
          <w:sz w:val="24"/>
          <w:szCs w:val="24"/>
          <w:rtl/>
        </w:rPr>
      </w:pPr>
    </w:p>
    <w:p w:rsidR="0093401D" w:rsidRDefault="0093401D" w:rsidP="004F6DBF">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בהמשך ובמהלך השהות </w:t>
      </w:r>
      <w:r w:rsidR="004F6DBF">
        <w:rPr>
          <w:rFonts w:ascii="David" w:hAnsi="David" w:cs="David"/>
          <w:sz w:val="24"/>
          <w:szCs w:val="24"/>
          <w:rtl/>
        </w:rPr>
        <w:t>במים, נגע הנאשם באיבר מינה של ס</w:t>
      </w:r>
      <w:r>
        <w:rPr>
          <w:rFonts w:ascii="David" w:hAnsi="David" w:cs="David"/>
          <w:sz w:val="24"/>
          <w:szCs w:val="24"/>
          <w:rtl/>
        </w:rPr>
        <w:t xml:space="preserve">. באמצעות ידו מספר פעמים וזאת ללא הסכמתה ובניגוד לרצונה. בחלק מהפעמים לחץ הנאשם באמצעות אצבעותיו על איבר מינה, ובאחת הפעמים נגע בישבנה. בתגובה למעשיו של הנאשם ועל מנת למנוע מהנאשם לגעת באיבר מינה ובישבנה, סגרה ס. את רגליה והתרחקה מהנאשם. </w:t>
      </w:r>
    </w:p>
    <w:p w:rsidR="0093401D" w:rsidRDefault="0093401D" w:rsidP="0093401D">
      <w:pPr>
        <w:pStyle w:val="ab"/>
        <w:jc w:val="both"/>
        <w:rPr>
          <w:rFonts w:ascii="David" w:hAnsi="David" w:cs="David"/>
          <w:sz w:val="24"/>
          <w:szCs w:val="24"/>
        </w:rPr>
      </w:pPr>
    </w:p>
    <w:p w:rsidR="0093401D" w:rsidRDefault="0093401D" w:rsidP="004F6DBF">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במהלך השהות במים, עקב הנאשם אחר ל. ילידת </w:t>
      </w:r>
      <w:r w:rsidR="004F6DBF">
        <w:rPr>
          <w:rFonts w:ascii="David" w:hAnsi="David" w:cs="David" w:hint="cs"/>
          <w:sz w:val="24"/>
          <w:szCs w:val="24"/>
        </w:rPr>
        <w:t>XXX</w:t>
      </w:r>
      <w:r w:rsidR="004F6DBF">
        <w:rPr>
          <w:rFonts w:ascii="David" w:hAnsi="David" w:cs="David"/>
          <w:sz w:val="24"/>
          <w:szCs w:val="24"/>
          <w:rtl/>
        </w:rPr>
        <w:t xml:space="preserve"> </w:t>
      </w:r>
      <w:r>
        <w:rPr>
          <w:rFonts w:ascii="David" w:hAnsi="David" w:cs="David"/>
          <w:sz w:val="24"/>
          <w:szCs w:val="24"/>
          <w:rtl/>
        </w:rPr>
        <w:t>(להלן: "</w:t>
      </w:r>
      <w:r>
        <w:rPr>
          <w:rFonts w:ascii="David" w:hAnsi="David" w:cs="David"/>
          <w:b/>
          <w:bCs/>
          <w:sz w:val="24"/>
          <w:szCs w:val="24"/>
          <w:rtl/>
        </w:rPr>
        <w:t>ל.</w:t>
      </w:r>
      <w:r w:rsidR="004F6DBF">
        <w:rPr>
          <w:rFonts w:ascii="David" w:hAnsi="David" w:cs="David" w:hint="cs"/>
          <w:b/>
          <w:bCs/>
          <w:sz w:val="24"/>
          <w:szCs w:val="24"/>
          <w:rtl/>
        </w:rPr>
        <w:t>"</w:t>
      </w:r>
      <w:r w:rsidR="008B50E3">
        <w:rPr>
          <w:rFonts w:ascii="David" w:hAnsi="David" w:cs="David" w:hint="cs"/>
          <w:sz w:val="24"/>
          <w:szCs w:val="24"/>
          <w:rtl/>
        </w:rPr>
        <w:t>)</w:t>
      </w:r>
      <w:r>
        <w:rPr>
          <w:rFonts w:ascii="David" w:hAnsi="David" w:cs="David"/>
          <w:sz w:val="24"/>
          <w:szCs w:val="24"/>
          <w:rtl/>
        </w:rPr>
        <w:t xml:space="preserve"> וקטינות נוספות, שזהותן אינה ידועה למאשימה, ששהו במים. ל. והקטינות התרחקו ממנו, אך הנאשם המשי</w:t>
      </w:r>
      <w:r w:rsidR="004F6DBF">
        <w:rPr>
          <w:rFonts w:ascii="David" w:hAnsi="David" w:cs="David"/>
          <w:sz w:val="24"/>
          <w:szCs w:val="24"/>
          <w:rtl/>
        </w:rPr>
        <w:t>ך לעקוב אחריהן. בהמשך – יצאה ס</w:t>
      </w:r>
      <w:r>
        <w:rPr>
          <w:rFonts w:ascii="David" w:hAnsi="David" w:cs="David"/>
          <w:sz w:val="24"/>
          <w:szCs w:val="24"/>
          <w:rtl/>
        </w:rPr>
        <w:t xml:space="preserve">. מהבריכה. הנאשם, עבר לידה ונגע באיבר מינה ובישבנה, ללא הסכמתה ובניגוד לרצונה. </w:t>
      </w:r>
    </w:p>
    <w:p w:rsidR="0093401D" w:rsidRDefault="0093401D" w:rsidP="0093401D">
      <w:pPr>
        <w:spacing w:line="360" w:lineRule="auto"/>
        <w:jc w:val="both"/>
        <w:rPr>
          <w:rFonts w:ascii="David" w:hAnsi="David"/>
          <w:b/>
          <w:bCs/>
          <w:color w:val="FF0000"/>
        </w:rPr>
      </w:pPr>
    </w:p>
    <w:p w:rsidR="0093401D" w:rsidRDefault="0093401D" w:rsidP="0093401D">
      <w:pPr>
        <w:spacing w:line="360" w:lineRule="auto"/>
        <w:jc w:val="both"/>
        <w:rPr>
          <w:b/>
          <w:bCs/>
          <w:rtl/>
        </w:rPr>
      </w:pPr>
      <w:r>
        <w:rPr>
          <w:rFonts w:hint="cs"/>
          <w:b/>
          <w:bCs/>
          <w:rtl/>
        </w:rPr>
        <w:t xml:space="preserve"> ב"כ הצדדים עתרו לעונש: </w:t>
      </w:r>
    </w:p>
    <w:p w:rsidR="0093401D" w:rsidRDefault="0093401D" w:rsidP="0093401D">
      <w:pPr>
        <w:spacing w:line="360" w:lineRule="auto"/>
        <w:jc w:val="both"/>
        <w:rPr>
          <w:b/>
          <w:bCs/>
        </w:rPr>
      </w:pPr>
      <w:r>
        <w:rPr>
          <w:b/>
          <w:bCs/>
          <w:rtl/>
        </w:rPr>
        <w:t xml:space="preserve"> </w:t>
      </w:r>
    </w:p>
    <w:p w:rsidR="0093401D" w:rsidRDefault="0093401D" w:rsidP="0093401D">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נקודת מוצא מוסכמת בטיעוני הצדדים עניינה בנסיבותיו ומאפייניו המיוחדים של הנאשם, המפורטים באריכות בתסקירי שרות מבחן רבים שהתקבלו בעניינו, לאורך ארבע שנים, במהלכן התנהל ההליך המשפטי. </w:t>
      </w:r>
    </w:p>
    <w:p w:rsidR="0093401D" w:rsidRDefault="0093401D" w:rsidP="0093401D">
      <w:pPr>
        <w:pStyle w:val="ab"/>
        <w:spacing w:line="360" w:lineRule="auto"/>
        <w:jc w:val="both"/>
        <w:rPr>
          <w:rFonts w:ascii="David" w:hAnsi="David" w:cs="David"/>
          <w:sz w:val="24"/>
          <w:szCs w:val="24"/>
          <w:rtl/>
        </w:rPr>
      </w:pPr>
    </w:p>
    <w:p w:rsidR="0093401D" w:rsidRDefault="0093401D" w:rsidP="001146B4">
      <w:pPr>
        <w:pStyle w:val="ab"/>
        <w:numPr>
          <w:ilvl w:val="0"/>
          <w:numId w:val="3"/>
        </w:numPr>
        <w:spacing w:line="360" w:lineRule="auto"/>
        <w:jc w:val="both"/>
        <w:rPr>
          <w:rFonts w:ascii="David" w:hAnsi="David" w:cs="David"/>
          <w:sz w:val="24"/>
          <w:szCs w:val="24"/>
          <w:rtl/>
        </w:rPr>
      </w:pPr>
      <w:r>
        <w:rPr>
          <w:rFonts w:ascii="David" w:hAnsi="David" w:cs="David"/>
          <w:b/>
          <w:bCs/>
          <w:sz w:val="24"/>
          <w:szCs w:val="24"/>
          <w:rtl/>
        </w:rPr>
        <w:t xml:space="preserve">ב"כ המאשימה, </w:t>
      </w:r>
      <w:r>
        <w:rPr>
          <w:rFonts w:ascii="David" w:hAnsi="David" w:cs="David"/>
          <w:sz w:val="24"/>
          <w:szCs w:val="24"/>
          <w:rtl/>
        </w:rPr>
        <w:t xml:space="preserve">הפנתה להודאתו במעשים, הדגישה את צרכיו הטיפוליים המחייבים המשך ליווי ופיקוח ועתרה להרשעתו בדין והטלת צו מבחן, מכוחו יוסיף לשהות בהוסטל </w:t>
      </w:r>
      <w:r w:rsidR="001146B4">
        <w:rPr>
          <w:rFonts w:ascii="David" w:hAnsi="David" w:cs="David" w:hint="cs"/>
          <w:sz w:val="24"/>
          <w:szCs w:val="24"/>
        </w:rPr>
        <w:t>XXX</w:t>
      </w:r>
      <w:r>
        <w:rPr>
          <w:rFonts w:ascii="David" w:hAnsi="David" w:cs="David"/>
          <w:sz w:val="24"/>
          <w:szCs w:val="24"/>
          <w:rtl/>
        </w:rPr>
        <w:t xml:space="preserve"> כשלוש שנים נוספות, זאת לצד התחייבות ופיצוי לנפגעות העבירה</w:t>
      </w:r>
      <w:r>
        <w:rPr>
          <w:rFonts w:ascii="David" w:hAnsi="David" w:cs="David"/>
          <w:b/>
          <w:bCs/>
          <w:sz w:val="24"/>
          <w:szCs w:val="24"/>
          <w:rtl/>
        </w:rPr>
        <w:t xml:space="preserve">. </w:t>
      </w:r>
      <w:r>
        <w:rPr>
          <w:rFonts w:ascii="David" w:hAnsi="David" w:cs="David"/>
          <w:sz w:val="24"/>
          <w:szCs w:val="24"/>
          <w:rtl/>
        </w:rPr>
        <w:t xml:space="preserve">ביום 1.5.23 הגישה ב"כ המאשימה בקשה לתקן פרוטוקול ובמסגרת הבקשה הבהירה כי במעמד הדיון עתרה להרשעת הצעיר בדין לצד צו מבחן, מאסר על תנאי, התחייבות ופיצוי. </w:t>
      </w:r>
    </w:p>
    <w:p w:rsidR="0093401D" w:rsidRDefault="0093401D" w:rsidP="0093401D">
      <w:pPr>
        <w:pStyle w:val="ab"/>
        <w:spacing w:line="360" w:lineRule="auto"/>
        <w:jc w:val="both"/>
        <w:rPr>
          <w:rFonts w:ascii="David" w:hAnsi="David" w:cs="David"/>
          <w:sz w:val="24"/>
          <w:szCs w:val="24"/>
          <w:rtl/>
        </w:rPr>
      </w:pPr>
    </w:p>
    <w:p w:rsidR="0093401D" w:rsidRDefault="0093401D" w:rsidP="0093401D">
      <w:pPr>
        <w:pStyle w:val="ab"/>
        <w:numPr>
          <w:ilvl w:val="0"/>
          <w:numId w:val="3"/>
        </w:numPr>
        <w:spacing w:line="360" w:lineRule="auto"/>
        <w:jc w:val="both"/>
        <w:rPr>
          <w:rFonts w:ascii="David" w:hAnsi="David" w:cs="David"/>
          <w:color w:val="FF0000"/>
          <w:sz w:val="24"/>
          <w:szCs w:val="24"/>
        </w:rPr>
      </w:pPr>
      <w:r>
        <w:rPr>
          <w:rFonts w:ascii="David" w:hAnsi="David" w:cs="David"/>
          <w:b/>
          <w:bCs/>
          <w:sz w:val="24"/>
          <w:szCs w:val="24"/>
          <w:rtl/>
        </w:rPr>
        <w:t xml:space="preserve">ב"כ הנאשם </w:t>
      </w:r>
      <w:r>
        <w:rPr>
          <w:rFonts w:ascii="David" w:hAnsi="David" w:cs="David"/>
          <w:sz w:val="24"/>
          <w:szCs w:val="24"/>
          <w:rtl/>
        </w:rPr>
        <w:t>ביקשה להדגיש את</w:t>
      </w:r>
      <w:r>
        <w:rPr>
          <w:rFonts w:ascii="David" w:hAnsi="David" w:cs="David"/>
          <w:b/>
          <w:bCs/>
          <w:sz w:val="24"/>
          <w:szCs w:val="24"/>
          <w:rtl/>
        </w:rPr>
        <w:t xml:space="preserve"> </w:t>
      </w:r>
      <w:r>
        <w:rPr>
          <w:rFonts w:ascii="David" w:hAnsi="David" w:cs="David"/>
          <w:sz w:val="24"/>
          <w:szCs w:val="24"/>
          <w:rtl/>
        </w:rPr>
        <w:t>הליך השיקום הממושך שעבר, המוצא ביטויו בתסקירים רבים מטעם שירות המבחן, וטענה כי יש לתת אמון בהמלצת הגוף המקצועי</w:t>
      </w:r>
      <w:r w:rsidR="008B50E3">
        <w:rPr>
          <w:rFonts w:ascii="David" w:hAnsi="David" w:cs="David" w:hint="cs"/>
          <w:sz w:val="24"/>
          <w:szCs w:val="24"/>
          <w:rtl/>
        </w:rPr>
        <w:t xml:space="preserve"> האמון על הטיפול</w:t>
      </w:r>
      <w:r>
        <w:rPr>
          <w:rFonts w:ascii="David" w:hAnsi="David" w:cs="David"/>
          <w:sz w:val="24"/>
          <w:szCs w:val="24"/>
          <w:rtl/>
        </w:rPr>
        <w:t xml:space="preserve"> ולאמץ המלצתם ככתבה וכלשונה. </w:t>
      </w:r>
    </w:p>
    <w:p w:rsidR="0093401D" w:rsidRPr="008B50E3" w:rsidRDefault="0093401D" w:rsidP="0093401D">
      <w:pPr>
        <w:pStyle w:val="ab"/>
        <w:jc w:val="both"/>
        <w:rPr>
          <w:rFonts w:ascii="David" w:hAnsi="David" w:cs="David"/>
          <w:color w:val="FF0000"/>
          <w:sz w:val="24"/>
          <w:szCs w:val="24"/>
        </w:rPr>
      </w:pPr>
    </w:p>
    <w:p w:rsidR="0093401D" w:rsidRDefault="0093401D" w:rsidP="00863083">
      <w:pPr>
        <w:pStyle w:val="ab"/>
        <w:numPr>
          <w:ilvl w:val="0"/>
          <w:numId w:val="3"/>
        </w:numPr>
        <w:spacing w:line="360" w:lineRule="auto"/>
        <w:jc w:val="both"/>
        <w:rPr>
          <w:rFonts w:ascii="David" w:hAnsi="David" w:cs="David"/>
          <w:sz w:val="24"/>
          <w:szCs w:val="24"/>
          <w:rtl/>
        </w:rPr>
      </w:pPr>
      <w:r>
        <w:rPr>
          <w:rFonts w:ascii="David" w:hAnsi="David" w:cs="David"/>
          <w:b/>
          <w:bCs/>
          <w:sz w:val="24"/>
          <w:szCs w:val="24"/>
          <w:rtl/>
        </w:rPr>
        <w:t>אביו של הצעיר, במילותיו</w:t>
      </w:r>
      <w:r>
        <w:rPr>
          <w:rFonts w:ascii="David" w:hAnsi="David" w:cs="David"/>
          <w:sz w:val="24"/>
          <w:szCs w:val="24"/>
          <w:rtl/>
        </w:rPr>
        <w:t xml:space="preserve"> : "... עו"ס בהוסטל עושים את העבודה הצדיקה ביותר, אני מצדיע להם.. .. אני שומע את דברי ביהמ"ש, אני מסכים להשאיר לשיקול דעת את אורך התקופה שבה ימצא </w:t>
      </w:r>
      <w:r w:rsidR="00863083">
        <w:rPr>
          <w:rFonts w:ascii="David" w:hAnsi="David" w:cs="David" w:hint="cs"/>
          <w:sz w:val="24"/>
          <w:szCs w:val="24"/>
        </w:rPr>
        <w:t>XXX</w:t>
      </w:r>
      <w:r w:rsidR="00863083">
        <w:rPr>
          <w:rFonts w:ascii="David" w:hAnsi="David" w:cs="David"/>
          <w:sz w:val="24"/>
          <w:szCs w:val="24"/>
          <w:rtl/>
        </w:rPr>
        <w:t xml:space="preserve"> </w:t>
      </w:r>
      <w:r>
        <w:rPr>
          <w:rFonts w:ascii="David" w:hAnsi="David" w:cs="David"/>
          <w:sz w:val="24"/>
          <w:szCs w:val="24"/>
          <w:rtl/>
        </w:rPr>
        <w:t>בהוסטל אבל אני מבקש מאוד שבסופ"ש הוא יגיע הבית משישי עד ראשון."</w:t>
      </w:r>
    </w:p>
    <w:p w:rsidR="0093401D" w:rsidRDefault="0093401D" w:rsidP="0093401D">
      <w:pPr>
        <w:pStyle w:val="ab"/>
        <w:spacing w:line="360" w:lineRule="auto"/>
        <w:jc w:val="both"/>
        <w:rPr>
          <w:rFonts w:ascii="David" w:hAnsi="David" w:cs="David"/>
          <w:sz w:val="24"/>
          <w:szCs w:val="24"/>
        </w:rPr>
      </w:pPr>
    </w:p>
    <w:p w:rsidR="0093401D" w:rsidRDefault="0093401D" w:rsidP="0093401D">
      <w:pPr>
        <w:pStyle w:val="ab"/>
        <w:numPr>
          <w:ilvl w:val="0"/>
          <w:numId w:val="3"/>
        </w:numPr>
        <w:spacing w:line="360" w:lineRule="auto"/>
        <w:jc w:val="both"/>
        <w:rPr>
          <w:rFonts w:ascii="David" w:hAnsi="David" w:cs="David"/>
          <w:sz w:val="24"/>
          <w:szCs w:val="24"/>
        </w:rPr>
      </w:pPr>
      <w:r>
        <w:rPr>
          <w:rFonts w:ascii="David" w:hAnsi="David" w:cs="David"/>
          <w:b/>
          <w:bCs/>
          <w:sz w:val="24"/>
          <w:szCs w:val="24"/>
          <w:rtl/>
        </w:rPr>
        <w:t xml:space="preserve">הנאשם, במילותיו : </w:t>
      </w:r>
      <w:r>
        <w:rPr>
          <w:rFonts w:ascii="David" w:hAnsi="David" w:cs="David"/>
          <w:sz w:val="24"/>
          <w:szCs w:val="24"/>
          <w:rtl/>
        </w:rPr>
        <w:t xml:space="preserve">" עברה תקופה ארוכה אבל בסדר. עד שהגיע הדיון והיו דחיות לקח זמן. אני קם ב 6.30 הולך לתעסוקה בליווי או של דייר או איש צוות. אני קם בבוקר הולך לתעסוקה, אני אורז תבלינים של זעתר, חד פעמי, תה, שם אוכל צהריים ואז חוזר לדירה </w:t>
      </w:r>
      <w:r>
        <w:rPr>
          <w:rFonts w:ascii="David" w:hAnsi="David" w:cs="David"/>
          <w:sz w:val="24"/>
          <w:szCs w:val="24"/>
          <w:rtl/>
        </w:rPr>
        <w:lastRenderedPageBreak/>
        <w:t>והולך לחוגים. יש חוג ריצה ואני משתתף, חוג מוזיקה. לשאלת ביהמ"ש אם אני מוכן להישאר בהוסטל, אני משיב שאני מוכן שביהמ"ש יקבע מה אורך התקופה שאשהה בהוסטל".</w:t>
      </w:r>
    </w:p>
    <w:p w:rsidR="0093401D" w:rsidRDefault="0093401D" w:rsidP="0093401D">
      <w:pPr>
        <w:jc w:val="both"/>
        <w:rPr>
          <w:rFonts w:ascii="David" w:hAnsi="David"/>
          <w:b/>
          <w:bCs/>
          <w:color w:val="FF0000"/>
        </w:rPr>
      </w:pPr>
    </w:p>
    <w:p w:rsidR="0093401D" w:rsidRDefault="0093401D" w:rsidP="0093401D">
      <w:pPr>
        <w:spacing w:line="360" w:lineRule="auto"/>
        <w:jc w:val="both"/>
        <w:rPr>
          <w:b/>
          <w:bCs/>
          <w:rtl/>
        </w:rPr>
      </w:pPr>
      <w:r>
        <w:rPr>
          <w:rFonts w:hint="cs"/>
          <w:b/>
          <w:bCs/>
          <w:rtl/>
        </w:rPr>
        <w:t xml:space="preserve">דיון והכרעה : </w:t>
      </w:r>
    </w:p>
    <w:p w:rsidR="0093401D" w:rsidRDefault="0093401D" w:rsidP="0093401D">
      <w:pPr>
        <w:spacing w:line="360" w:lineRule="auto"/>
        <w:jc w:val="both"/>
        <w:rPr>
          <w:b/>
          <w:bCs/>
          <w:rtl/>
        </w:rPr>
      </w:pPr>
    </w:p>
    <w:p w:rsidR="0093401D" w:rsidRDefault="0093401D" w:rsidP="008B50E3">
      <w:pPr>
        <w:pStyle w:val="ab"/>
        <w:numPr>
          <w:ilvl w:val="0"/>
          <w:numId w:val="3"/>
        </w:numPr>
        <w:spacing w:line="360" w:lineRule="auto"/>
        <w:jc w:val="both"/>
        <w:rPr>
          <w:rFonts w:ascii="David" w:hAnsi="David" w:cs="David"/>
          <w:color w:val="FF0000"/>
          <w:sz w:val="24"/>
          <w:szCs w:val="24"/>
          <w:rtl/>
        </w:rPr>
      </w:pPr>
      <w:r>
        <w:rPr>
          <w:rFonts w:ascii="David" w:hAnsi="David" w:cs="David"/>
          <w:sz w:val="24"/>
          <w:szCs w:val="24"/>
          <w:rtl/>
        </w:rPr>
        <w:t>הצעיר הודה בביצוע מעשים מגונים בקטינות, בנות 8 (ס.) ו- 13 שנים (ל</w:t>
      </w:r>
      <w:r w:rsidR="00FD29B5">
        <w:rPr>
          <w:rFonts w:ascii="David" w:hAnsi="David" w:cs="David" w:hint="cs"/>
          <w:sz w:val="24"/>
          <w:szCs w:val="24"/>
          <w:rtl/>
        </w:rPr>
        <w:t>.</w:t>
      </w:r>
      <w:r>
        <w:rPr>
          <w:rFonts w:ascii="David" w:hAnsi="David" w:cs="David"/>
          <w:sz w:val="24"/>
          <w:szCs w:val="24"/>
          <w:rtl/>
        </w:rPr>
        <w:t>), בעת ההיא. כתב האישום המתוקן מתאר התנהגות מכוערת ומזיקה, חסרת רסן, כלפי ילדות צעירות, ש</w:t>
      </w:r>
      <w:r w:rsidR="008B50E3">
        <w:rPr>
          <w:rFonts w:ascii="David" w:hAnsi="David" w:cs="David" w:hint="cs"/>
          <w:sz w:val="24"/>
          <w:szCs w:val="24"/>
          <w:rtl/>
        </w:rPr>
        <w:t xml:space="preserve">פגעה </w:t>
      </w:r>
      <w:r>
        <w:rPr>
          <w:rFonts w:ascii="David" w:hAnsi="David" w:cs="David"/>
          <w:sz w:val="24"/>
          <w:szCs w:val="24"/>
          <w:rtl/>
        </w:rPr>
        <w:t xml:space="preserve"> בחירותן להחליט על גופן, בביטחונן האישי וברגשותיהן שלהן ושל האחראים עליהם. </w:t>
      </w:r>
    </w:p>
    <w:p w:rsidR="0093401D" w:rsidRDefault="0093401D" w:rsidP="0093401D">
      <w:pPr>
        <w:spacing w:after="160" w:line="360" w:lineRule="auto"/>
        <w:ind w:left="720"/>
        <w:contextualSpacing/>
        <w:jc w:val="both"/>
        <w:rPr>
          <w:rFonts w:ascii="David" w:hAnsi="David"/>
          <w:color w:val="FF0000"/>
          <w:rtl/>
        </w:rPr>
      </w:pPr>
    </w:p>
    <w:p w:rsidR="0093401D" w:rsidRDefault="0093401D" w:rsidP="0093401D">
      <w:pPr>
        <w:numPr>
          <w:ilvl w:val="0"/>
          <w:numId w:val="3"/>
        </w:numPr>
        <w:spacing w:after="160" w:line="360" w:lineRule="auto"/>
        <w:contextualSpacing/>
        <w:jc w:val="both"/>
        <w:rPr>
          <w:rtl/>
        </w:rPr>
      </w:pPr>
      <w:r>
        <w:rPr>
          <w:rFonts w:hint="cs"/>
          <w:rtl/>
        </w:rPr>
        <w:t xml:space="preserve">בהקשר זה קבע בית המשפט העליון כי: "חשוב עד מאוד כי ידעו כל נער ונערה בישראל כי אין לפגוע בכבודו של אדם וכי גופם של כל ילד או ילדה אינו הפקר. ידעו הכול, כי עבריין, גם אם קטין הוא, הפוגע בגופם ובכבודם של ילד או ילדה ומנצל את כוחו לרעה כלפיהם, צפוי לשאת בתוצאות העונשיות של מעשהו". (ראו </w:t>
      </w:r>
      <w:r>
        <w:rPr>
          <w:rFonts w:hint="cs"/>
          <w:b/>
          <w:bCs/>
          <w:rtl/>
        </w:rPr>
        <w:t xml:space="preserve">ע"פ 4920/01 פלוני נ' מדינת ישראל, </w:t>
      </w:r>
      <w:r>
        <w:rPr>
          <w:rFonts w:hint="cs"/>
          <w:rtl/>
        </w:rPr>
        <w:t>נו(1) 594 (2001)).</w:t>
      </w:r>
    </w:p>
    <w:p w:rsidR="0093401D" w:rsidRDefault="0093401D" w:rsidP="0093401D">
      <w:pPr>
        <w:spacing w:after="160" w:line="360" w:lineRule="auto"/>
        <w:ind w:left="720"/>
        <w:contextualSpacing/>
        <w:jc w:val="both"/>
        <w:rPr>
          <w:rFonts w:eastAsiaTheme="minorHAnsi"/>
          <w:rtl/>
        </w:rPr>
      </w:pPr>
    </w:p>
    <w:p w:rsidR="0093401D" w:rsidRDefault="0093401D" w:rsidP="0093401D">
      <w:pPr>
        <w:numPr>
          <w:ilvl w:val="0"/>
          <w:numId w:val="3"/>
        </w:numPr>
        <w:spacing w:after="160" w:line="360" w:lineRule="auto"/>
        <w:contextualSpacing/>
        <w:jc w:val="both"/>
        <w:rPr>
          <w:rtl/>
        </w:rPr>
      </w:pPr>
      <w:r>
        <w:rPr>
          <w:rFonts w:hint="cs"/>
          <w:rtl/>
        </w:rPr>
        <w:t>יחד עם זאת, ואף כשמדובר בנסיבות חמורות, עת נדרש בית המשפט לנוער לגזור דינו של מי שהיה קטין בעת ביצוע המעשים, עליו לאזן בין שיקולי גמול והרתעה לבין אינטרס השיקום של הנער. לשם כך – חובה עליו להביט מעבר לעובדות כתב האישום, לראות את הצעיר העומד לראשונה לדין, לבחון את נסיבותיו האישיות, את אפשרויות שיקומו ושילובו חזרה בחברה, כאזרח שומר חוק.</w:t>
      </w:r>
    </w:p>
    <w:p w:rsidR="0093401D" w:rsidRDefault="0093401D" w:rsidP="0093401D">
      <w:pPr>
        <w:spacing w:after="160" w:line="252" w:lineRule="auto"/>
        <w:ind w:left="720"/>
        <w:contextualSpacing/>
        <w:jc w:val="both"/>
        <w:rPr>
          <w:rFonts w:eastAsiaTheme="minorHAnsi"/>
          <w:rtl/>
        </w:rPr>
      </w:pPr>
    </w:p>
    <w:p w:rsidR="0093401D" w:rsidRDefault="0093401D" w:rsidP="0093401D">
      <w:pPr>
        <w:numPr>
          <w:ilvl w:val="0"/>
          <w:numId w:val="3"/>
        </w:numPr>
        <w:spacing w:after="160" w:line="360" w:lineRule="auto"/>
        <w:contextualSpacing/>
        <w:jc w:val="both"/>
      </w:pPr>
      <w:r>
        <w:rPr>
          <w:rFonts w:hint="cs"/>
          <w:rtl/>
        </w:rPr>
        <w:t xml:space="preserve">בע"פ 8863/15 </w:t>
      </w:r>
      <w:r>
        <w:rPr>
          <w:rFonts w:hint="cs"/>
          <w:b/>
          <w:bCs/>
          <w:rtl/>
        </w:rPr>
        <w:t>פלוני ואח' נ' מ"י</w:t>
      </w:r>
      <w:r>
        <w:rPr>
          <w:rFonts w:hint="cs"/>
          <w:rtl/>
        </w:rPr>
        <w:t xml:space="preserve"> (פורסם בנבו, 7.6.16) קבע בית המשפט העליון כי: " מערכת השיקולים שיש להפעיל בעת גזירת עונשו של קטין היא שונה וייחודית מזו שיש להפעיל ביחס לעבריין בגיר, כאשר ההתייחסות השונה נגזרת מהוראותיו של </w:t>
      </w:r>
      <w:hyperlink r:id="rId8" w:history="1">
        <w:r>
          <w:rPr>
            <w:rStyle w:val="Hyperlink"/>
            <w:rFonts w:hint="cs"/>
            <w:color w:val="000000"/>
            <w:rtl/>
          </w:rPr>
          <w:t>חוק הנוער (שפיטה, ענישה ודרכי טיפול)</w:t>
        </w:r>
      </w:hyperlink>
      <w:r>
        <w:rPr>
          <w:rFonts w:hint="cs"/>
          <w:color w:val="000000"/>
          <w:rtl/>
        </w:rPr>
        <w:t xml:space="preserve">. </w:t>
      </w:r>
      <w:r>
        <w:rPr>
          <w:rFonts w:hint="cs"/>
          <w:rtl/>
        </w:rPr>
        <w:t xml:space="preserve">כך, בעת גזירת עונשו של קטין, אף אם הורשע בעבירות קשות וחמורות במיוחד, שומה על ביהמ"ש ליתן משקל יתר לשיקולים אינדיבידואליים הנוגעים לאותו הקטין ולאזן בין שיקולי השיקום לשיקולי ההרתעה". </w:t>
      </w:r>
    </w:p>
    <w:p w:rsidR="0093401D" w:rsidRDefault="0093401D" w:rsidP="0093401D">
      <w:pPr>
        <w:spacing w:after="160" w:line="252" w:lineRule="auto"/>
        <w:ind w:left="720"/>
        <w:contextualSpacing/>
        <w:jc w:val="both"/>
        <w:rPr>
          <w:rFonts w:eastAsiaTheme="minorHAnsi"/>
        </w:rPr>
      </w:pPr>
    </w:p>
    <w:p w:rsidR="0093401D" w:rsidRDefault="0093401D" w:rsidP="0093401D">
      <w:pPr>
        <w:numPr>
          <w:ilvl w:val="0"/>
          <w:numId w:val="3"/>
        </w:numPr>
        <w:spacing w:after="160" w:line="360" w:lineRule="auto"/>
        <w:contextualSpacing/>
        <w:jc w:val="both"/>
      </w:pPr>
      <w:r>
        <w:rPr>
          <w:rFonts w:hint="cs"/>
          <w:rtl/>
        </w:rPr>
        <w:t xml:space="preserve">עוד אפנה לע"פ 6963/15 </w:t>
      </w:r>
      <w:r>
        <w:rPr>
          <w:rFonts w:hint="cs"/>
          <w:b/>
          <w:bCs/>
          <w:rtl/>
        </w:rPr>
        <w:t>פלוני נ' מדינת ישראל</w:t>
      </w:r>
      <w:r>
        <w:rPr>
          <w:rFonts w:hint="cs"/>
          <w:rtl/>
        </w:rPr>
        <w:t xml:space="preserve">( פורסם בנבו, 5.4.16) שם חזר והדגיש בית המשפט העליון כי : </w:t>
      </w:r>
      <w:r>
        <w:rPr>
          <w:rFonts w:hint="cs"/>
          <w:b/>
          <w:bCs/>
          <w:rtl/>
        </w:rPr>
        <w:t xml:space="preserve">"... מדיניות הענישה הנוהגת והראויה בעניינם של עבריינים קטינים הושפעה בצורה מכרעת מגילם ומסיכויי שיקומם, אף במקרים של עבירות מין ואלימות קשות [ראו: </w:t>
      </w:r>
      <w:hyperlink r:id="rId9" w:tgtFrame="blank" w:history="1">
        <w:r>
          <w:rPr>
            <w:rStyle w:val="Hyperlink"/>
            <w:rFonts w:hint="cs"/>
            <w:b/>
            <w:bCs/>
            <w:rtl/>
          </w:rPr>
          <w:t>ע"פ 49/09</w:t>
        </w:r>
      </w:hyperlink>
      <w:r>
        <w:rPr>
          <w:rFonts w:hint="cs"/>
          <w:b/>
          <w:bCs/>
          <w:rtl/>
        </w:rPr>
        <w:t xml:space="preserve"> מדינת ישראל נ' פלוני, [פורסם בנבו] פסקה 10 (8.3.2009)].</w:t>
      </w:r>
      <w:r>
        <w:rPr>
          <w:rFonts w:hint="cs"/>
          <w:rtl/>
        </w:rPr>
        <w:t>"</w:t>
      </w:r>
    </w:p>
    <w:p w:rsidR="0093401D" w:rsidRDefault="0093401D" w:rsidP="0093401D">
      <w:pPr>
        <w:spacing w:line="360" w:lineRule="auto"/>
        <w:jc w:val="both"/>
        <w:rPr>
          <w:rFonts w:eastAsiaTheme="minorHAnsi"/>
          <w:b/>
          <w:bCs/>
          <w:rtl/>
        </w:rPr>
      </w:pPr>
    </w:p>
    <w:p w:rsidR="0093401D" w:rsidRDefault="0093401D" w:rsidP="0093401D">
      <w:pPr>
        <w:spacing w:line="360" w:lineRule="auto"/>
        <w:jc w:val="both"/>
        <w:rPr>
          <w:rFonts w:eastAsia="David"/>
          <w:b/>
          <w:bCs/>
        </w:rPr>
      </w:pPr>
      <w:r>
        <w:rPr>
          <w:b/>
          <w:bCs/>
          <w:rtl/>
        </w:rPr>
        <w:lastRenderedPageBreak/>
        <w:t xml:space="preserve"> </w:t>
      </w:r>
      <w:r>
        <w:rPr>
          <w:rFonts w:hint="cs"/>
          <w:b/>
          <w:bCs/>
          <w:rtl/>
        </w:rPr>
        <w:t xml:space="preserve">דיון: </w:t>
      </w:r>
    </w:p>
    <w:p w:rsidR="0093401D" w:rsidRDefault="0093401D" w:rsidP="0093401D">
      <w:pPr>
        <w:spacing w:line="360" w:lineRule="auto"/>
        <w:jc w:val="both"/>
        <w:rPr>
          <w:b/>
          <w:bCs/>
          <w:rtl/>
        </w:rPr>
      </w:pPr>
    </w:p>
    <w:p w:rsidR="0093401D" w:rsidRPr="00FD29B5" w:rsidRDefault="00FD29B5" w:rsidP="0093401D">
      <w:pPr>
        <w:pStyle w:val="ab"/>
        <w:numPr>
          <w:ilvl w:val="0"/>
          <w:numId w:val="3"/>
        </w:numPr>
        <w:spacing w:line="360" w:lineRule="auto"/>
        <w:jc w:val="both"/>
        <w:rPr>
          <w:rFonts w:ascii="David" w:hAnsi="David" w:cs="David"/>
          <w:b/>
          <w:bCs/>
          <w:sz w:val="24"/>
          <w:szCs w:val="24"/>
        </w:rPr>
      </w:pPr>
      <w:r w:rsidRPr="00FD29B5">
        <w:rPr>
          <w:rFonts w:ascii="David" w:hAnsi="David" w:cs="David" w:hint="cs"/>
          <w:b/>
          <w:bCs/>
          <w:sz w:val="24"/>
          <w:szCs w:val="24"/>
          <w:rtl/>
        </w:rPr>
        <w:t xml:space="preserve">החלק של תסקיר שירות המבחן </w:t>
      </w:r>
      <w:r w:rsidRPr="00FD29B5">
        <w:rPr>
          <w:rFonts w:ascii="David" w:hAnsi="David" w:cs="David"/>
          <w:b/>
          <w:bCs/>
          <w:sz w:val="24"/>
          <w:szCs w:val="24"/>
          <w:rtl/>
        </w:rPr>
        <w:t>–</w:t>
      </w:r>
      <w:r w:rsidRPr="00FD29B5">
        <w:rPr>
          <w:rFonts w:ascii="David" w:hAnsi="David" w:cs="David" w:hint="cs"/>
          <w:b/>
          <w:bCs/>
          <w:sz w:val="24"/>
          <w:szCs w:val="24"/>
          <w:rtl/>
        </w:rPr>
        <w:t xml:space="preserve"> הושמט. </w:t>
      </w:r>
    </w:p>
    <w:p w:rsidR="0093401D" w:rsidRDefault="0093401D" w:rsidP="0093401D">
      <w:pPr>
        <w:pStyle w:val="ab"/>
        <w:jc w:val="both"/>
        <w:rPr>
          <w:rFonts w:ascii="David" w:hAnsi="David" w:cs="David"/>
          <w:sz w:val="24"/>
          <w:szCs w:val="24"/>
          <w:highlight w:val="yellow"/>
          <w:rtl/>
        </w:rPr>
      </w:pPr>
    </w:p>
    <w:p w:rsidR="0093401D" w:rsidRDefault="0093401D" w:rsidP="0093401D">
      <w:pPr>
        <w:pStyle w:val="ab"/>
        <w:numPr>
          <w:ilvl w:val="0"/>
          <w:numId w:val="3"/>
        </w:numPr>
        <w:spacing w:line="360" w:lineRule="auto"/>
        <w:jc w:val="both"/>
        <w:rPr>
          <w:rFonts w:ascii="David" w:hAnsi="David" w:cs="David"/>
          <w:sz w:val="24"/>
          <w:szCs w:val="24"/>
          <w:rtl/>
        </w:rPr>
      </w:pPr>
      <w:r>
        <w:rPr>
          <w:rFonts w:ascii="David" w:hAnsi="David" w:cs="David"/>
          <w:sz w:val="24"/>
          <w:szCs w:val="24"/>
          <w:rtl/>
        </w:rPr>
        <w:t>ב"כ הצדדים חלוקים ביניהם בשאלת הרשעתו של הצעיר בדין כמו גם בעונש ההולם בנסיבותיו</w:t>
      </w:r>
      <w:r>
        <w:rPr>
          <w:rFonts w:ascii="David" w:hAnsi="David" w:cs="David"/>
          <w:b/>
          <w:bCs/>
          <w:sz w:val="24"/>
          <w:szCs w:val="24"/>
          <w:rtl/>
        </w:rPr>
        <w:t>.</w:t>
      </w:r>
    </w:p>
    <w:p w:rsidR="0093401D" w:rsidRDefault="0093401D" w:rsidP="0093401D">
      <w:pPr>
        <w:pStyle w:val="ab"/>
        <w:jc w:val="both"/>
        <w:rPr>
          <w:rFonts w:ascii="David" w:hAnsi="David" w:cs="David"/>
          <w:sz w:val="24"/>
          <w:szCs w:val="24"/>
        </w:rPr>
      </w:pPr>
    </w:p>
    <w:p w:rsidR="0093401D" w:rsidRDefault="0093401D" w:rsidP="0093401D">
      <w:pPr>
        <w:pStyle w:val="ab"/>
        <w:numPr>
          <w:ilvl w:val="0"/>
          <w:numId w:val="3"/>
        </w:numPr>
        <w:spacing w:line="360" w:lineRule="auto"/>
        <w:jc w:val="both"/>
        <w:rPr>
          <w:rFonts w:ascii="David" w:hAnsi="David" w:cs="David"/>
          <w:sz w:val="24"/>
          <w:szCs w:val="24"/>
          <w:rtl/>
        </w:rPr>
      </w:pPr>
      <w:r>
        <w:rPr>
          <w:rFonts w:ascii="David" w:hAnsi="David" w:cs="David"/>
          <w:sz w:val="24"/>
          <w:szCs w:val="24"/>
          <w:rtl/>
        </w:rPr>
        <w:t>על מנת להכריע בשאלת הרשעתו של הצעיר והענישה ההולמת בנסיבותיו, על בית המשפט לנוער לשקול את מכלול האינטרסים והשיקולים הרלוונטיים לעניין ולאזן ביניהם כראוי. אף כי בית המשפט ייתן משקל רב יותר לנסיבותיו של הקטין, לאפשרויות שיקומו</w:t>
      </w:r>
      <w:r w:rsidR="006531BA">
        <w:rPr>
          <w:rFonts w:ascii="David" w:hAnsi="David" w:cs="David" w:hint="cs"/>
          <w:sz w:val="24"/>
          <w:szCs w:val="24"/>
          <w:rtl/>
        </w:rPr>
        <w:t>,</w:t>
      </w:r>
      <w:r>
        <w:rPr>
          <w:rFonts w:ascii="David" w:hAnsi="David" w:cs="David"/>
          <w:sz w:val="24"/>
          <w:szCs w:val="24"/>
          <w:rtl/>
        </w:rPr>
        <w:t xml:space="preserve"> ביחס לבגיר, אין מדובר בשיקול בלעדי ומכריע. כידוע - "...קטינות אינה יוצרת חסינות, ולעיתים שיקולים של </w:t>
      </w:r>
      <w:r w:rsidRPr="001146B4">
        <w:rPr>
          <w:rFonts w:ascii="David" w:hAnsi="David" w:cs="David"/>
          <w:b/>
          <w:bCs/>
          <w:sz w:val="24"/>
          <w:szCs w:val="24"/>
          <w:rtl/>
        </w:rPr>
        <w:t>הרתעה,</w:t>
      </w:r>
      <w:r>
        <w:rPr>
          <w:rFonts w:ascii="David" w:hAnsi="David" w:cs="David"/>
          <w:sz w:val="24"/>
          <w:szCs w:val="24"/>
          <w:rtl/>
        </w:rPr>
        <w:t xml:space="preserve"> </w:t>
      </w:r>
      <w:r w:rsidRPr="001146B4">
        <w:rPr>
          <w:rFonts w:ascii="David" w:hAnsi="David" w:cs="David"/>
          <w:b/>
          <w:bCs/>
          <w:sz w:val="24"/>
          <w:szCs w:val="24"/>
          <w:rtl/>
        </w:rPr>
        <w:t>מניעה וגמול</w:t>
      </w:r>
      <w:r>
        <w:rPr>
          <w:rFonts w:ascii="David" w:hAnsi="David" w:cs="David"/>
          <w:sz w:val="24"/>
          <w:szCs w:val="24"/>
          <w:rtl/>
        </w:rPr>
        <w:t xml:space="preserve"> </w:t>
      </w:r>
      <w:r>
        <w:rPr>
          <w:rFonts w:ascii="David" w:hAnsi="David" w:cs="David"/>
          <w:b/>
          <w:bCs/>
          <w:sz w:val="24"/>
          <w:szCs w:val="24"/>
          <w:rtl/>
        </w:rPr>
        <w:t>עולים במשקלם על השיקול השיקומי</w:t>
      </w:r>
      <w:r>
        <w:rPr>
          <w:rFonts w:ascii="David" w:hAnsi="David" w:cs="David"/>
          <w:sz w:val="24"/>
          <w:szCs w:val="24"/>
          <w:rtl/>
        </w:rPr>
        <w:t xml:space="preserve">" (ראו ע"פ 8164/02 </w:t>
      </w:r>
      <w:r>
        <w:rPr>
          <w:rFonts w:ascii="David" w:hAnsi="David" w:cs="David"/>
          <w:b/>
          <w:bCs/>
          <w:sz w:val="24"/>
          <w:szCs w:val="24"/>
          <w:rtl/>
        </w:rPr>
        <w:t>פלוני נגד מדינת ישראל</w:t>
      </w:r>
      <w:r>
        <w:rPr>
          <w:rFonts w:ascii="David" w:hAnsi="David" w:cs="David"/>
          <w:sz w:val="24"/>
          <w:szCs w:val="24"/>
          <w:rtl/>
        </w:rPr>
        <w:t xml:space="preserve"> [פורסם בנבו] 17.3.03). (ה.ש. – ט.ו.). </w:t>
      </w:r>
    </w:p>
    <w:p w:rsidR="0093401D" w:rsidRDefault="0093401D" w:rsidP="0093401D">
      <w:pPr>
        <w:pStyle w:val="ab"/>
        <w:jc w:val="both"/>
        <w:rPr>
          <w:rFonts w:ascii="David" w:hAnsi="David" w:cs="David"/>
          <w:color w:val="FF0000"/>
          <w:sz w:val="24"/>
          <w:szCs w:val="24"/>
          <w:lang w:bidi="ar-EG"/>
        </w:rPr>
      </w:pPr>
    </w:p>
    <w:p w:rsidR="0093401D" w:rsidRDefault="0093401D" w:rsidP="0093401D">
      <w:pPr>
        <w:pStyle w:val="ab"/>
        <w:numPr>
          <w:ilvl w:val="0"/>
          <w:numId w:val="3"/>
        </w:numPr>
        <w:spacing w:line="360" w:lineRule="auto"/>
        <w:jc w:val="both"/>
        <w:rPr>
          <w:rFonts w:ascii="David" w:hAnsi="David" w:cs="David"/>
          <w:color w:val="FF0000"/>
          <w:sz w:val="24"/>
          <w:szCs w:val="24"/>
          <w:rtl/>
        </w:rPr>
      </w:pPr>
      <w:r>
        <w:rPr>
          <w:rFonts w:ascii="David" w:hAnsi="David" w:cs="David"/>
          <w:sz w:val="24"/>
          <w:szCs w:val="24"/>
          <w:rtl/>
        </w:rPr>
        <w:t xml:space="preserve">בנסיבות המיוחדות של העומד בפני, עת אבוא לאזן בין השיקולים השונים, אעניק משקל מכריע לאינטרס התומך במניעה ומתן הגנה לקרבנות פוטנציאלים. כך אעשה, לא רק בשל העבירות החמורות שביצע הצעיר, המחייבות הוצאת מסר מגנה ומוקיע, אלא בעיקר בשל המסוכנות הנשקפת ממנו, אף היום, בחלוף שלוש שנות טיפול אינטנסיביות. הנאשם הודה בעובדות כתב האישום המתוקן, הביע חרטה על מעשיו, אך לעמדת מטפליו המסורים, לאור מוגבלותו ומגבלותיו, סכנה כי ישוב ויבצע עבירת מין – עודנה קיימת. אכן הצעיר הבין את הפסול שבמעשיו ועשה כברת דרך בהליך השיקומי, אולם, בהתאם לעמדת אנשי המקצוע, עדיין נצפים קשיים בשליטתו בדחפים מיניים, ונראה כי צרכים טיפוליים רבים ממשיכים להתקיים. על כן - לאחר שעיינתי בחומר הרב שנאסף בעניינו של הצעיר לאורך שנות התדיינותו בפניי, בנסיבות אופיו וכישוריו של הצעיר, על מוגבלותו הקוגניטיבית וקשיי הפנמה הנובעים ממנה, חרף גילו בעת ביצוע העבירות, נראה כי אין מנוס מהרשעתו בדין. </w:t>
      </w:r>
    </w:p>
    <w:p w:rsidR="0093401D" w:rsidRDefault="0093401D" w:rsidP="0093401D">
      <w:pPr>
        <w:pStyle w:val="ab"/>
        <w:jc w:val="both"/>
        <w:rPr>
          <w:rFonts w:ascii="David" w:hAnsi="David" w:cs="David"/>
          <w:color w:val="FF0000"/>
          <w:sz w:val="24"/>
          <w:szCs w:val="24"/>
        </w:rPr>
      </w:pPr>
    </w:p>
    <w:p w:rsidR="0093401D" w:rsidRDefault="0093401D" w:rsidP="0093401D">
      <w:pPr>
        <w:pStyle w:val="ab"/>
        <w:numPr>
          <w:ilvl w:val="0"/>
          <w:numId w:val="3"/>
        </w:numPr>
        <w:spacing w:line="360" w:lineRule="auto"/>
        <w:jc w:val="both"/>
        <w:rPr>
          <w:rFonts w:ascii="David" w:hAnsi="David" w:cs="David"/>
          <w:color w:val="FF0000"/>
          <w:sz w:val="24"/>
          <w:szCs w:val="24"/>
          <w:rtl/>
        </w:rPr>
      </w:pPr>
      <w:r>
        <w:rPr>
          <w:rFonts w:ascii="David" w:hAnsi="David" w:cs="David"/>
          <w:sz w:val="24"/>
          <w:szCs w:val="24"/>
          <w:rtl/>
        </w:rPr>
        <w:t xml:space="preserve">כידוע - בית המשפט לנוער מחויב לתת מזור והגנה לקטינים כולם, כמו גם לציבור בכללותו. מאמינה אני בצעיר, באביו המסור ובמטפליו המקצועיים, וסבורה כי כל עוד יהיה במסגרת מפוקחת, יוסיף לצעוד במעלה מסלול השיקום ויעשה חיל. עם זאת, נוכח נתוניו, קשייו המובנים בוויסות דחפיו, והתרשמותי באולם מהבנה חלקית ביותר למתרחש בבית המשפט, נראה כי ההרשעה, על כוחה העצמאי, המתייג, המרתיע והמתריע, תספק תמרור אזהרה, שייסע לציבור ביכולתו להתגונן. </w:t>
      </w:r>
    </w:p>
    <w:p w:rsidR="0093401D" w:rsidRDefault="0093401D" w:rsidP="0093401D">
      <w:pPr>
        <w:pStyle w:val="ab"/>
        <w:jc w:val="both"/>
        <w:rPr>
          <w:rFonts w:ascii="David" w:hAnsi="David" w:cs="David"/>
          <w:color w:val="FF0000"/>
          <w:sz w:val="24"/>
          <w:szCs w:val="24"/>
        </w:rPr>
      </w:pPr>
    </w:p>
    <w:p w:rsidR="0093401D" w:rsidRDefault="0093401D" w:rsidP="006531BA">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בבואי לבחון את העונשים הנלווים להרשעה, אזכיר לעצמי כי מראשית ההליך ולכל אורכו, ביקש הנאשם להסתייע בגורמי הטיפול ולהתגייס להליך שיקום ממשי. במסגרת זו ובמשך כשלוש שנים נענה לדרישותיהם ואימץ את המלצותיהם של גורמי הטיפול, לרבות גורמי </w:t>
      </w:r>
      <w:r>
        <w:rPr>
          <w:rFonts w:ascii="David" w:hAnsi="David" w:cs="David"/>
          <w:sz w:val="24"/>
          <w:szCs w:val="24"/>
          <w:rtl/>
        </w:rPr>
        <w:lastRenderedPageBreak/>
        <w:t>הרווחה, שירות המבחן, מטפלי "</w:t>
      </w:r>
      <w:r w:rsidR="001146B4" w:rsidRPr="001146B4">
        <w:rPr>
          <w:rFonts w:ascii="David" w:hAnsi="David" w:cs="David" w:hint="cs"/>
          <w:sz w:val="24"/>
          <w:szCs w:val="24"/>
        </w:rPr>
        <w:t xml:space="preserve"> </w:t>
      </w:r>
      <w:r w:rsidR="001146B4">
        <w:rPr>
          <w:rFonts w:ascii="David" w:hAnsi="David" w:cs="David" w:hint="cs"/>
          <w:sz w:val="24"/>
          <w:szCs w:val="24"/>
        </w:rPr>
        <w:t>XXX</w:t>
      </w:r>
      <w:r w:rsidR="001146B4">
        <w:rPr>
          <w:rFonts w:ascii="David" w:hAnsi="David" w:cs="David"/>
          <w:sz w:val="24"/>
          <w:szCs w:val="24"/>
          <w:rtl/>
        </w:rPr>
        <w:t xml:space="preserve"> </w:t>
      </w:r>
      <w:r>
        <w:rPr>
          <w:rFonts w:ascii="David" w:hAnsi="David" w:cs="David"/>
          <w:sz w:val="24"/>
          <w:szCs w:val="24"/>
          <w:rtl/>
        </w:rPr>
        <w:t xml:space="preserve">" וצוות הוסטל </w:t>
      </w:r>
      <w:r w:rsidR="001146B4">
        <w:rPr>
          <w:rFonts w:ascii="David" w:hAnsi="David" w:cs="David" w:hint="cs"/>
          <w:sz w:val="24"/>
          <w:szCs w:val="24"/>
        </w:rPr>
        <w:t>XXX</w:t>
      </w:r>
      <w:r>
        <w:rPr>
          <w:rFonts w:ascii="David" w:hAnsi="David" w:cs="David"/>
          <w:sz w:val="24"/>
          <w:szCs w:val="24"/>
          <w:rtl/>
        </w:rPr>
        <w:t>, ושיתף פעולה עם כל תוכנית טיפולית שהוצעה לו. הצעיר עשה כל מאמץ לשפר את דרכיו והוא נכון להוסיף ולעשות כן, לאורך תקופה ממושכת נוספת. גם היום – ממשיך לצעוד בנתיב הטיפולי שהותווה לו, נענה לכל הצעה טיפולית</w:t>
      </w:r>
      <w:r w:rsidR="006531BA">
        <w:rPr>
          <w:rFonts w:ascii="David" w:hAnsi="David" w:cs="David" w:hint="cs"/>
          <w:sz w:val="24"/>
          <w:szCs w:val="24"/>
          <w:rtl/>
        </w:rPr>
        <w:t>,</w:t>
      </w:r>
      <w:r>
        <w:rPr>
          <w:rFonts w:ascii="David" w:hAnsi="David" w:cs="David"/>
          <w:sz w:val="24"/>
          <w:szCs w:val="24"/>
          <w:rtl/>
        </w:rPr>
        <w:t xml:space="preserve"> ונותן מבטחו בגורמי הטיפול, כמו גם בבית המשפט, כי יובילו אותו להשגת יעדיו. במעמד הטיעונים לעונש נתנו הנאשם ואביו את הסכמתם למתן צו מבחן בתנאי מגורים, מכוחו יוסיף לשהות בהוסטל </w:t>
      </w:r>
      <w:r w:rsidR="001146B4">
        <w:rPr>
          <w:rFonts w:ascii="David" w:hAnsi="David" w:cs="David" w:hint="cs"/>
          <w:sz w:val="24"/>
          <w:szCs w:val="24"/>
        </w:rPr>
        <w:t>XXX</w:t>
      </w:r>
      <w:r>
        <w:rPr>
          <w:rFonts w:ascii="David" w:hAnsi="David" w:cs="David"/>
          <w:sz w:val="24"/>
          <w:szCs w:val="24"/>
          <w:rtl/>
        </w:rPr>
        <w:t xml:space="preserve">, והותיר לשיקול דעת בית המשפט את משך תקופת הצו. כל אלה מלמדים על רצונו הכן בקבלת סיוע והדרכה, במטרה להפיק את מירב התועלת מן ההליך הטיפולי. </w:t>
      </w:r>
    </w:p>
    <w:p w:rsidR="0093401D" w:rsidRDefault="0093401D" w:rsidP="0093401D">
      <w:pPr>
        <w:pStyle w:val="ab"/>
        <w:jc w:val="both"/>
        <w:rPr>
          <w:rFonts w:ascii="David" w:hAnsi="David" w:cs="David"/>
          <w:sz w:val="24"/>
          <w:szCs w:val="24"/>
        </w:rPr>
      </w:pPr>
    </w:p>
    <w:p w:rsidR="0093401D" w:rsidRDefault="0093401D" w:rsidP="00686F6D">
      <w:pPr>
        <w:pStyle w:val="ab"/>
        <w:numPr>
          <w:ilvl w:val="0"/>
          <w:numId w:val="3"/>
        </w:numPr>
        <w:spacing w:line="360" w:lineRule="auto"/>
        <w:jc w:val="both"/>
        <w:rPr>
          <w:rFonts w:ascii="David" w:hAnsi="David" w:cs="David"/>
          <w:sz w:val="24"/>
          <w:szCs w:val="24"/>
        </w:rPr>
      </w:pPr>
      <w:r>
        <w:rPr>
          <w:rFonts w:ascii="David" w:hAnsi="David" w:cs="David"/>
          <w:sz w:val="24"/>
          <w:szCs w:val="24"/>
          <w:rtl/>
        </w:rPr>
        <w:t>הצעיר נעדר הרשעות קודמות, זהו תיקו הראשון והיחיד המתנהל בין כתלי בית המשפט, וכיום עומד הוא בפני מתן גזר דין, בחלוף תקופה ארוכה של טיפול ושיקום, ה</w:t>
      </w:r>
      <w:r w:rsidR="00686F6D">
        <w:rPr>
          <w:rFonts w:ascii="David" w:hAnsi="David" w:cs="David" w:hint="cs"/>
          <w:sz w:val="24"/>
          <w:szCs w:val="24"/>
          <w:rtl/>
        </w:rPr>
        <w:t>נ</w:t>
      </w:r>
      <w:r>
        <w:rPr>
          <w:rFonts w:ascii="David" w:hAnsi="David" w:cs="David"/>
          <w:sz w:val="24"/>
          <w:szCs w:val="24"/>
          <w:rtl/>
        </w:rPr>
        <w:t xml:space="preserve">משכת למעלה מארבע שנים. נסיבותיו האישיות וקורות ההליך הטיפולי פורטו באריכות יתרה בגזר דין זה, זאת על מנת לברר ולשקף את המסוכנות העתידית הנשקפת מן הצעיר, ובהתאם לה להבין את הצורך בסטייה מהמלצת שרות המבחן. כאמור – להבנתי, מגבלותיו ומוגבלותו של הצעיר, לצד המסוכנות המינית הנשקפת ממנו, מחייבים את הרשעתו בדין, לצד צו מכוחו ישהה שהות ממושכת נוספת בהוסטל, אף מעבר למומלץ בתסקיר. לאור כל אלה </w:t>
      </w:r>
      <w:r>
        <w:rPr>
          <w:rFonts w:ascii="David" w:hAnsi="David" w:cs="David"/>
          <w:b/>
          <w:bCs/>
          <w:sz w:val="24"/>
          <w:szCs w:val="24"/>
          <w:rtl/>
        </w:rPr>
        <w:t>ובהסכמתו של הנאשם ואביו</w:t>
      </w:r>
      <w:r>
        <w:rPr>
          <w:rFonts w:ascii="David" w:hAnsi="David" w:cs="David"/>
          <w:sz w:val="24"/>
          <w:szCs w:val="24"/>
          <w:rtl/>
        </w:rPr>
        <w:t xml:space="preserve">, אטיל עליו צו מבחן לתקופה ממושכת, מכוחו יישאר במסגרת בה הוא נמצא, ויוסיף לקבל טיפול ייעודי נדרש. </w:t>
      </w:r>
    </w:p>
    <w:p w:rsidR="0093401D" w:rsidRDefault="0093401D" w:rsidP="0093401D">
      <w:pPr>
        <w:pStyle w:val="ab"/>
        <w:rPr>
          <w:rFonts w:ascii="David" w:hAnsi="David" w:cs="David"/>
          <w:sz w:val="24"/>
          <w:szCs w:val="24"/>
          <w:rtl/>
        </w:rPr>
      </w:pPr>
    </w:p>
    <w:p w:rsidR="0093401D" w:rsidRDefault="0093401D" w:rsidP="00863083">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לא אחתום מסמך זה מבלי לשבח את הנאשם ואביו המסור, אשר עברו דרך ארוכה, מייגעת ומרשימה, תוך התלבטות ארוכה ותנועה מטלטלת בין הרצון הטבעי לחזור לשגרה, בבית, שהייתה מנת חלקם קודם לאירועים נושא כתב האישום, לבין התובנה כי טובתו של הצעיר מחייבת שינוי דרמטי באורחותיו והמצאות במסגרת חוץ-ביתית מלווה ומפוקחת. אין לי ספק כי בעניינו של </w:t>
      </w:r>
      <w:r w:rsidR="00863083">
        <w:rPr>
          <w:rFonts w:ascii="David" w:hAnsi="David" w:cs="David" w:hint="cs"/>
          <w:sz w:val="24"/>
          <w:szCs w:val="24"/>
        </w:rPr>
        <w:t>XXX</w:t>
      </w:r>
      <w:r>
        <w:rPr>
          <w:rFonts w:ascii="David" w:hAnsi="David" w:cs="David"/>
          <w:sz w:val="24"/>
          <w:szCs w:val="24"/>
          <w:rtl/>
        </w:rPr>
        <w:t xml:space="preserve"> האינטרס הציבורי בהגנה על נפגעים פוטנציאלים והאינטרס האישי של הצעיר בשיקום וטיפול, חברו יחדיו, תומכים בשהותו הממושכת במסגרת, וכולי תקוה כי אף אחר סיום תקופת המבחן, ישכיל </w:t>
      </w:r>
      <w:r w:rsidR="00863083">
        <w:rPr>
          <w:rFonts w:ascii="David" w:hAnsi="David" w:cs="David" w:hint="cs"/>
          <w:sz w:val="24"/>
          <w:szCs w:val="24"/>
        </w:rPr>
        <w:t>XXX</w:t>
      </w:r>
      <w:r>
        <w:rPr>
          <w:rFonts w:ascii="David" w:hAnsi="David" w:cs="David"/>
          <w:sz w:val="24"/>
          <w:szCs w:val="24"/>
          <w:rtl/>
        </w:rPr>
        <w:t xml:space="preserve"> להישאר בתחומה מרצונו הטוב ובחירתו החופשית. </w:t>
      </w:r>
    </w:p>
    <w:p w:rsidR="0093401D" w:rsidRDefault="0093401D" w:rsidP="001146B4">
      <w:pPr>
        <w:pStyle w:val="ab"/>
        <w:spacing w:line="360" w:lineRule="auto"/>
        <w:jc w:val="both"/>
        <w:rPr>
          <w:rFonts w:ascii="David" w:hAnsi="David" w:cs="David"/>
          <w:sz w:val="24"/>
          <w:szCs w:val="24"/>
          <w:rtl/>
        </w:rPr>
      </w:pPr>
      <w:r>
        <w:rPr>
          <w:rFonts w:ascii="David" w:hAnsi="David" w:cs="David"/>
          <w:sz w:val="24"/>
          <w:szCs w:val="24"/>
          <w:rtl/>
        </w:rPr>
        <w:t xml:space="preserve">מוצאת אני חובה לחלוק שבחים נוספים אף למנהל ואנשי הטיפול בהוסטל </w:t>
      </w:r>
      <w:r w:rsidR="001146B4">
        <w:rPr>
          <w:rFonts w:ascii="David" w:hAnsi="David" w:cs="David" w:hint="cs"/>
          <w:sz w:val="24"/>
          <w:szCs w:val="24"/>
        </w:rPr>
        <w:t>XXX</w:t>
      </w:r>
      <w:r>
        <w:rPr>
          <w:rFonts w:ascii="David" w:hAnsi="David" w:cs="David"/>
          <w:sz w:val="24"/>
          <w:szCs w:val="24"/>
          <w:rtl/>
        </w:rPr>
        <w:t>, העושים מלאכת קודש, מעניקים מענה מקצועי לצעיר ולחוסים הזוכים לשהות במסגרתם, ובמסירות יוצאת דופן מאפשרים להם לקיים אורח חיים מיטיב, מכבד ומוגן.</w:t>
      </w:r>
    </w:p>
    <w:p w:rsidR="0093401D" w:rsidRDefault="0093401D" w:rsidP="0093401D">
      <w:pPr>
        <w:pStyle w:val="ab"/>
        <w:spacing w:line="360" w:lineRule="auto"/>
        <w:jc w:val="both"/>
        <w:rPr>
          <w:rFonts w:ascii="David" w:hAnsi="David" w:cs="David"/>
          <w:sz w:val="24"/>
          <w:szCs w:val="24"/>
          <w:rtl/>
        </w:rPr>
      </w:pPr>
    </w:p>
    <w:p w:rsidR="0093401D" w:rsidRDefault="0093401D" w:rsidP="0093401D">
      <w:pPr>
        <w:pStyle w:val="ab"/>
        <w:numPr>
          <w:ilvl w:val="0"/>
          <w:numId w:val="3"/>
        </w:numPr>
        <w:spacing w:line="360" w:lineRule="auto"/>
        <w:jc w:val="both"/>
        <w:rPr>
          <w:rFonts w:ascii="David" w:hAnsi="David" w:cs="David"/>
          <w:sz w:val="24"/>
          <w:szCs w:val="24"/>
        </w:rPr>
      </w:pPr>
      <w:r>
        <w:rPr>
          <w:rFonts w:ascii="David" w:hAnsi="David" w:cs="David"/>
          <w:b/>
          <w:bCs/>
          <w:sz w:val="24"/>
          <w:szCs w:val="24"/>
          <w:rtl/>
        </w:rPr>
        <w:t>נפגעות העבירה</w:t>
      </w:r>
      <w:r w:rsidR="001146B4">
        <w:rPr>
          <w:rFonts w:ascii="David" w:hAnsi="David" w:cs="David"/>
          <w:sz w:val="24"/>
          <w:szCs w:val="24"/>
          <w:rtl/>
        </w:rPr>
        <w:t xml:space="preserve"> - הקטינות ס.</w:t>
      </w:r>
      <w:r>
        <w:rPr>
          <w:rFonts w:ascii="David" w:hAnsi="David" w:cs="David"/>
          <w:sz w:val="24"/>
          <w:szCs w:val="24"/>
          <w:rtl/>
        </w:rPr>
        <w:t xml:space="preserve"> ו-ל</w:t>
      </w:r>
      <w:r w:rsidR="001146B4">
        <w:rPr>
          <w:rFonts w:ascii="David" w:hAnsi="David" w:cs="David"/>
          <w:sz w:val="24"/>
          <w:szCs w:val="24"/>
          <w:rtl/>
        </w:rPr>
        <w:t>.</w:t>
      </w:r>
      <w:r>
        <w:rPr>
          <w:rFonts w:ascii="David" w:hAnsi="David" w:cs="David"/>
          <w:sz w:val="24"/>
          <w:szCs w:val="24"/>
          <w:rtl/>
        </w:rPr>
        <w:t>, ביקשו במועד הרלוונטי לכתב האישום, לפני כחמש שנים, לבלות להנאתן בבריכה, אך לדאבונן הרב נקלעו לסיטואציה פוגענית, על השלכותיה המורכבות</w:t>
      </w:r>
      <w:r w:rsidR="001146B4">
        <w:rPr>
          <w:rFonts w:ascii="David" w:hAnsi="David" w:cs="David"/>
          <w:sz w:val="24"/>
          <w:szCs w:val="24"/>
          <w:rtl/>
        </w:rPr>
        <w:t xml:space="preserve"> עבורן ועבור משפחתן. אביה של ס.</w:t>
      </w:r>
      <w:r>
        <w:rPr>
          <w:rFonts w:ascii="David" w:hAnsi="David" w:cs="David"/>
          <w:sz w:val="24"/>
          <w:szCs w:val="24"/>
          <w:rtl/>
        </w:rPr>
        <w:t xml:space="preserve"> הופיע בפניי במועד הטיעונים לעונש, ושיתף בדרכה והתמודדותה המורכבת של בתו, מאז האירוע ועד היום. על דרך הכלל, ראוי בעיני לפסוק פיצוי כספי משמעותי לטובת נפגעי העבירה, למען ידעו כי יש מי שמגן על זכויותיהם, </w:t>
      </w:r>
      <w:r>
        <w:rPr>
          <w:rFonts w:ascii="David" w:hAnsi="David" w:cs="David"/>
          <w:sz w:val="24"/>
          <w:szCs w:val="24"/>
          <w:rtl/>
        </w:rPr>
        <w:lastRenderedPageBreak/>
        <w:t xml:space="preserve">מוחה על הפגיעה בהם, ומשמיע קולם בהליך. עם זאת, במקרה דנן, לאור נסיבותיו החריגות של הצעיר, הנמצא בתעסוקה מוגנת, ושוהה לאורך שנים במסגרת חוץ ביתית, נוכח מצבה הכלכלי הקשה של משפחתו והמלצת שרות המבחן להימנע מהטלת חיוב כספי, אסתפק בפסיקת פיצוי סמלי, אשר יישא את המסר האמור. </w:t>
      </w:r>
    </w:p>
    <w:p w:rsidR="0093401D" w:rsidRDefault="0093401D" w:rsidP="0093401D">
      <w:pPr>
        <w:spacing w:line="360" w:lineRule="auto"/>
        <w:jc w:val="both"/>
        <w:rPr>
          <w:rFonts w:cs="Times New Roman"/>
          <w:rtl/>
        </w:rPr>
      </w:pPr>
    </w:p>
    <w:p w:rsidR="0093401D" w:rsidRDefault="0093401D" w:rsidP="0093401D">
      <w:pPr>
        <w:spacing w:line="360" w:lineRule="auto"/>
        <w:jc w:val="both"/>
        <w:rPr>
          <w:rFonts w:ascii="David" w:hAnsi="David"/>
        </w:rPr>
      </w:pPr>
      <w:r>
        <w:rPr>
          <w:rFonts w:hint="cs"/>
          <w:rtl/>
        </w:rPr>
        <w:t>לאור כל האמור לעיל, אני מחליטה להרשיע את הנאשם עפ"י סעיף 24 (1) לחוק הנוער (שפיטה, ענישה ודרכי טיפול), תשל"א – 1971 וגוזרת את דינו כדלקמן:</w:t>
      </w:r>
    </w:p>
    <w:p w:rsidR="0093401D" w:rsidRDefault="0093401D" w:rsidP="0093401D">
      <w:pPr>
        <w:spacing w:line="360" w:lineRule="auto"/>
        <w:jc w:val="both"/>
      </w:pPr>
    </w:p>
    <w:p w:rsidR="0093401D" w:rsidRDefault="0093401D" w:rsidP="00827622">
      <w:pPr>
        <w:pStyle w:val="ab"/>
        <w:numPr>
          <w:ilvl w:val="0"/>
          <w:numId w:val="4"/>
        </w:numPr>
        <w:spacing w:line="360" w:lineRule="auto"/>
        <w:jc w:val="both"/>
        <w:rPr>
          <w:rFonts w:ascii="David" w:hAnsi="David" w:cs="David"/>
          <w:sz w:val="24"/>
          <w:szCs w:val="24"/>
        </w:rPr>
      </w:pPr>
      <w:r>
        <w:rPr>
          <w:rFonts w:ascii="David" w:hAnsi="David" w:cs="David"/>
          <w:sz w:val="24"/>
          <w:szCs w:val="24"/>
          <w:rtl/>
        </w:rPr>
        <w:t xml:space="preserve">הצעיר יועמד במבחן, בפיקוח קצין מבחן לנוער, למשך חמש שנים החל מיום קליטתו בהוסטל </w:t>
      </w:r>
      <w:r w:rsidR="00400E84">
        <w:rPr>
          <w:rFonts w:ascii="David" w:hAnsi="David" w:cs="David" w:hint="cs"/>
          <w:sz w:val="24"/>
          <w:szCs w:val="24"/>
        </w:rPr>
        <w:t>XXX</w:t>
      </w:r>
      <w:r w:rsidR="00400E84">
        <w:rPr>
          <w:rFonts w:ascii="David" w:hAnsi="David" w:cs="David"/>
          <w:sz w:val="24"/>
          <w:szCs w:val="24"/>
          <w:rtl/>
        </w:rPr>
        <w:t xml:space="preserve"> </w:t>
      </w:r>
      <w:r>
        <w:rPr>
          <w:rFonts w:ascii="David" w:hAnsi="David" w:cs="David"/>
          <w:sz w:val="24"/>
          <w:szCs w:val="24"/>
          <w:rtl/>
        </w:rPr>
        <w:t xml:space="preserve">ביום 16.6.20 ועד ליום 16.6.25. מובהר לצעיר כי במהלך תקופת המבחן עליו לשהות בהוסטל </w:t>
      </w:r>
      <w:r w:rsidR="00827622">
        <w:rPr>
          <w:rFonts w:ascii="David" w:hAnsi="David" w:cs="David" w:hint="cs"/>
          <w:sz w:val="24"/>
          <w:szCs w:val="24"/>
        </w:rPr>
        <w:t>XXX</w:t>
      </w:r>
      <w:r>
        <w:rPr>
          <w:rFonts w:ascii="David" w:hAnsi="David" w:cs="David"/>
          <w:sz w:val="24"/>
          <w:szCs w:val="24"/>
          <w:rtl/>
        </w:rPr>
        <w:t xml:space="preserve"> ולהוסיף להתמיד ולקבל טיפול מיני ייעודי במסגרת עמותת "</w:t>
      </w:r>
      <w:r w:rsidR="00827622" w:rsidRPr="00827622">
        <w:rPr>
          <w:rFonts w:ascii="David" w:hAnsi="David" w:cs="David" w:hint="cs"/>
          <w:sz w:val="24"/>
          <w:szCs w:val="24"/>
        </w:rPr>
        <w:t xml:space="preserve"> </w:t>
      </w:r>
      <w:r w:rsidR="00827622">
        <w:rPr>
          <w:rFonts w:ascii="David" w:hAnsi="David" w:cs="David" w:hint="cs"/>
          <w:sz w:val="24"/>
          <w:szCs w:val="24"/>
        </w:rPr>
        <w:t>XXX</w:t>
      </w:r>
      <w:r w:rsidR="00827622">
        <w:rPr>
          <w:rFonts w:ascii="David" w:hAnsi="David" w:cs="David"/>
          <w:sz w:val="24"/>
          <w:szCs w:val="24"/>
          <w:rtl/>
        </w:rPr>
        <w:t xml:space="preserve"> </w:t>
      </w:r>
      <w:r>
        <w:rPr>
          <w:rFonts w:ascii="David" w:hAnsi="David" w:cs="David"/>
          <w:sz w:val="24"/>
          <w:szCs w:val="24"/>
          <w:rtl/>
        </w:rPr>
        <w:t xml:space="preserve">". הובהרה לצעיר חשיבות שיתוף הפעולה עם שירות המבחן ועם גורמי הטיפול בהוסטל </w:t>
      </w:r>
      <w:r w:rsidR="00827622">
        <w:rPr>
          <w:rFonts w:ascii="David" w:hAnsi="David" w:cs="David" w:hint="cs"/>
          <w:sz w:val="24"/>
          <w:szCs w:val="24"/>
        </w:rPr>
        <w:t>XXX</w:t>
      </w:r>
      <w:r>
        <w:rPr>
          <w:rFonts w:ascii="David" w:hAnsi="David" w:cs="David"/>
          <w:sz w:val="24"/>
          <w:szCs w:val="24"/>
          <w:rtl/>
        </w:rPr>
        <w:t>. הסברתי לצעיר ולהוריו את סמכותו של בימ"ש זה להפקיע את צו המבחן ולגזור עונשו בשנית, וזאת ככל שלא ימלא אחר הוראה מהוראות צו המבחן או יורשע בביצוע עבירה נוספת בתקופת המבחן, ועל פי שיקול דעתו של בית המשפט.</w:t>
      </w:r>
    </w:p>
    <w:p w:rsidR="0093401D" w:rsidRDefault="0093401D" w:rsidP="0093401D">
      <w:pPr>
        <w:numPr>
          <w:ilvl w:val="0"/>
          <w:numId w:val="4"/>
        </w:numPr>
        <w:spacing w:line="360" w:lineRule="auto"/>
        <w:jc w:val="both"/>
        <w:rPr>
          <w:rFonts w:ascii="David" w:hAnsi="David"/>
          <w:rtl/>
        </w:rPr>
      </w:pPr>
      <w:r>
        <w:rPr>
          <w:rFonts w:hint="cs"/>
          <w:rtl/>
        </w:rPr>
        <w:t>על הצעיר לשלם פיצוי לכל אחת מהמתלוננות (קטינות) בסך של 1,500 ₪. סכום זה יופקד בקופת בית המשפט בתוך 90 ימים מהיום.</w:t>
      </w:r>
    </w:p>
    <w:p w:rsidR="0093401D" w:rsidRDefault="0093401D" w:rsidP="0093401D">
      <w:pPr>
        <w:spacing w:line="360" w:lineRule="auto"/>
        <w:ind w:left="720"/>
        <w:contextualSpacing/>
        <w:jc w:val="both"/>
        <w:rPr>
          <w:rFonts w:eastAsiaTheme="minorHAnsi" w:cs="Times New Roman"/>
          <w:b/>
          <w:bCs/>
          <w:rtl/>
        </w:rPr>
      </w:pPr>
      <w:r>
        <w:rPr>
          <w:rFonts w:hint="cs"/>
          <w:b/>
          <w:bCs/>
          <w:rtl/>
        </w:rPr>
        <w:t xml:space="preserve">התובעת תעביר לאלתר את פרטי המתלוננות למזכירות בית המשפט. </w:t>
      </w:r>
    </w:p>
    <w:p w:rsidR="0093401D" w:rsidRDefault="0093401D" w:rsidP="0093401D">
      <w:pPr>
        <w:spacing w:line="360" w:lineRule="auto"/>
        <w:jc w:val="both"/>
        <w:rPr>
          <w:rFonts w:ascii="David" w:eastAsia="David" w:hAnsi="David"/>
          <w:rtl/>
        </w:rPr>
      </w:pPr>
    </w:p>
    <w:p w:rsidR="0093401D" w:rsidRDefault="0093401D" w:rsidP="0093401D">
      <w:pPr>
        <w:numPr>
          <w:ilvl w:val="0"/>
          <w:numId w:val="4"/>
        </w:numPr>
        <w:spacing w:line="360" w:lineRule="auto"/>
        <w:jc w:val="both"/>
        <w:rPr>
          <w:rtl/>
        </w:rPr>
      </w:pPr>
      <w:r>
        <w:rPr>
          <w:rFonts w:hint="cs"/>
          <w:rtl/>
        </w:rPr>
        <w:t xml:space="preserve">על הצעיר לבצע שירות למען הזולת במשך 100 שעות לפחות ולהמציא אישור על ביצוען למזכירות בית המשפט לא יאוחר מיום 1.3.24. </w:t>
      </w:r>
    </w:p>
    <w:p w:rsidR="0093401D" w:rsidRDefault="0093401D" w:rsidP="0093401D">
      <w:pPr>
        <w:spacing w:line="360" w:lineRule="auto"/>
        <w:jc w:val="both"/>
        <w:rPr>
          <w:rFonts w:eastAsia="David"/>
        </w:rPr>
      </w:pPr>
    </w:p>
    <w:p w:rsidR="0093401D" w:rsidRDefault="0093401D" w:rsidP="0093401D">
      <w:pPr>
        <w:spacing w:line="360" w:lineRule="auto"/>
        <w:jc w:val="both"/>
        <w:rPr>
          <w:b/>
          <w:bCs/>
          <w:u w:val="single"/>
          <w:rtl/>
        </w:rPr>
      </w:pPr>
      <w:r>
        <w:rPr>
          <w:rFonts w:hint="cs"/>
          <w:b/>
          <w:bCs/>
          <w:u w:val="single"/>
          <w:rtl/>
        </w:rPr>
        <w:t>זכותו לערער על גזר דין זה בתוך 45 ימים מהיום לבית המשפט המחוזי בנצרת.</w:t>
      </w:r>
    </w:p>
    <w:p w:rsidR="0093401D" w:rsidRDefault="0093401D" w:rsidP="0093401D">
      <w:pPr>
        <w:spacing w:line="360" w:lineRule="auto"/>
        <w:jc w:val="both"/>
        <w:rPr>
          <w:rtl/>
        </w:rPr>
      </w:pPr>
    </w:p>
    <w:p w:rsidR="0093401D" w:rsidRDefault="0093401D" w:rsidP="0093401D">
      <w:pPr>
        <w:spacing w:line="360" w:lineRule="auto"/>
        <w:jc w:val="both"/>
        <w:rPr>
          <w:sz w:val="6"/>
          <w:szCs w:val="6"/>
          <w:rtl/>
        </w:rPr>
      </w:pPr>
      <w:r>
        <w:rPr>
          <w:rFonts w:hint="cs"/>
          <w:sz w:val="6"/>
          <w:szCs w:val="6"/>
          <w:rtl/>
        </w:rPr>
        <w:t>&lt;#3#&gt;</w:t>
      </w:r>
    </w:p>
    <w:p w:rsidR="0093401D" w:rsidRDefault="0093401D" w:rsidP="0093401D">
      <w:pPr>
        <w:spacing w:line="360" w:lineRule="auto"/>
        <w:rPr>
          <w:rtl/>
        </w:rPr>
      </w:pPr>
      <w:r>
        <w:rPr>
          <w:rFonts w:hint="cs"/>
          <w:b/>
          <w:bCs/>
          <w:rtl/>
        </w:rPr>
        <w:t xml:space="preserve">ניתנה והודעה היום </w:t>
      </w:r>
      <w:sdt>
        <w:sdtPr>
          <w:rPr>
            <w:rFonts w:hint="cs"/>
            <w:rtl/>
          </w:rPr>
          <w:alias w:val="2207"/>
          <w:tag w:val="2207"/>
          <w:id w:val="1329636924"/>
          <w:text w:multiLine="1"/>
        </w:sdtPr>
        <w:sdtEndPr/>
        <w:sdtContent>
          <w:r>
            <w:rPr>
              <w:rFonts w:hint="cs"/>
              <w:b/>
              <w:bCs/>
              <w:rtl/>
            </w:rPr>
            <w:t>כ"ט תמוז תשפ"ג</w:t>
          </w:r>
        </w:sdtContent>
      </w:sdt>
      <w:r>
        <w:rPr>
          <w:rFonts w:hint="cs"/>
          <w:b/>
          <w:bCs/>
          <w:rtl/>
        </w:rPr>
        <w:t xml:space="preserve">, </w:t>
      </w:r>
      <w:sdt>
        <w:sdtPr>
          <w:rPr>
            <w:rFonts w:hint="cs"/>
            <w:rtl/>
          </w:rPr>
          <w:alias w:val="2206"/>
          <w:tag w:val="2206"/>
          <w:id w:val="-1474593809"/>
          <w:text w:multiLine="1"/>
        </w:sdtPr>
        <w:sdtEndPr/>
        <w:sdtContent>
          <w:r>
            <w:rPr>
              <w:rFonts w:hint="cs"/>
              <w:b/>
              <w:bCs/>
            </w:rPr>
            <w:t>18/07/2023</w:t>
          </w:r>
        </w:sdtContent>
      </w:sdt>
      <w:r>
        <w:rPr>
          <w:rFonts w:hint="cs"/>
          <w:b/>
          <w:bCs/>
          <w:rtl/>
        </w:rPr>
        <w:t xml:space="preserve"> במעמד הנוכחים.</w:t>
      </w:r>
    </w:p>
    <w:tbl>
      <w:tblPr>
        <w:tblStyle w:val="a8"/>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3401D" w:rsidTr="00464966">
        <w:trPr>
          <w:trHeight w:val="316"/>
        </w:trPr>
        <w:tc>
          <w:tcPr>
            <w:tcW w:w="3936" w:type="dxa"/>
            <w:tcBorders>
              <w:top w:val="nil"/>
              <w:left w:val="nil"/>
              <w:bottom w:val="single" w:sz="4" w:space="0" w:color="auto"/>
              <w:right w:val="nil"/>
            </w:tcBorders>
            <w:vAlign w:val="center"/>
            <w:hideMark/>
          </w:tcPr>
          <w:p w:rsidR="0093401D" w:rsidRDefault="00F97242">
            <w:pPr>
              <w:jc w:val="center"/>
              <w:rPr>
                <w:rtl/>
              </w:rPr>
            </w:pPr>
            <w:sdt>
              <w:sdtPr>
                <w:rPr>
                  <w:rFonts w:cs="Times New Roman"/>
                  <w:rtl/>
                </w:rPr>
                <w:alias w:val="MergeField"/>
                <w:tag w:val="2144"/>
                <w:id w:val="-2092304640"/>
              </w:sdtPr>
              <w:sdtEndPr/>
              <w:sdtContent>
                <w:r w:rsidR="0093401D">
                  <w:rPr>
                    <w:noProof/>
                  </w:rPr>
                  <w:drawing>
                    <wp:inline distT="0" distB="0" distL="0" distR="0">
                      <wp:extent cx="1087120" cy="89725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7120" cy="897255"/>
                              </a:xfrm>
                              <a:prstGeom prst="rect">
                                <a:avLst/>
                              </a:prstGeom>
                              <a:noFill/>
                              <a:ln>
                                <a:noFill/>
                              </a:ln>
                            </pic:spPr>
                          </pic:pic>
                        </a:graphicData>
                      </a:graphic>
                    </wp:inline>
                  </w:drawing>
                </w:r>
              </w:sdtContent>
            </w:sdt>
          </w:p>
        </w:tc>
      </w:tr>
      <w:tr w:rsidR="0093401D" w:rsidTr="00464966">
        <w:trPr>
          <w:trHeight w:val="361"/>
        </w:trPr>
        <w:tc>
          <w:tcPr>
            <w:tcW w:w="3936" w:type="dxa"/>
            <w:tcBorders>
              <w:top w:val="single" w:sz="4" w:space="0" w:color="auto"/>
              <w:left w:val="nil"/>
              <w:bottom w:val="nil"/>
              <w:right w:val="nil"/>
            </w:tcBorders>
            <w:vAlign w:val="center"/>
            <w:hideMark/>
          </w:tcPr>
          <w:p w:rsidR="0093401D" w:rsidRDefault="00F97242">
            <w:pPr>
              <w:jc w:val="center"/>
              <w:rPr>
                <w:b/>
                <w:bCs/>
                <w:rtl/>
              </w:rPr>
            </w:pPr>
            <w:sdt>
              <w:sdtPr>
                <w:rPr>
                  <w:b/>
                  <w:bCs/>
                  <w:rtl/>
                </w:rPr>
                <w:alias w:val="2141"/>
                <w:tag w:val="2141"/>
                <w:id w:val="2119712613"/>
                <w:placeholder>
                  <w:docPart w:val="55239A18A8F940B795403C6CD13205A8"/>
                </w:placeholder>
                <w:text w:multiLine="1"/>
              </w:sdtPr>
              <w:sdtEndPr/>
              <w:sdtContent>
                <w:r w:rsidR="0093401D">
                  <w:rPr>
                    <w:b/>
                    <w:bCs/>
                    <w:rtl/>
                  </w:rPr>
                  <w:t>טל</w:t>
                </w:r>
              </w:sdtContent>
            </w:sdt>
            <w:r w:rsidR="0093401D">
              <w:rPr>
                <w:rFonts w:hint="cs"/>
                <w:b/>
                <w:bCs/>
                <w:rtl/>
              </w:rPr>
              <w:t xml:space="preserve"> </w:t>
            </w:r>
            <w:sdt>
              <w:sdtPr>
                <w:rPr>
                  <w:rFonts w:cs="Times New Roman"/>
                  <w:b/>
                  <w:bCs/>
                  <w:rtl/>
                </w:rPr>
                <w:alias w:val="2142"/>
                <w:tag w:val="2142"/>
                <w:id w:val="-26639521"/>
                <w:placeholder>
                  <w:docPart w:val="5D586ABC508C47CB83BC0263861645B0"/>
                </w:placeholder>
                <w:text w:multiLine="1"/>
              </w:sdtPr>
              <w:sdtEndPr/>
              <w:sdtContent>
                <w:r w:rsidR="0093401D">
                  <w:rPr>
                    <w:b/>
                    <w:bCs/>
                    <w:rtl/>
                  </w:rPr>
                  <w:t>ויסמן בן שחר</w:t>
                </w:r>
              </w:sdtContent>
            </w:sdt>
            <w:r w:rsidR="0093401D">
              <w:rPr>
                <w:rFonts w:hint="cs"/>
                <w:b/>
                <w:bCs/>
                <w:rtl/>
              </w:rPr>
              <w:t xml:space="preserve">, </w:t>
            </w:r>
            <w:sdt>
              <w:sdtPr>
                <w:rPr>
                  <w:rFonts w:cs="Times New Roman"/>
                  <w:b/>
                  <w:bCs/>
                  <w:rtl/>
                </w:rPr>
                <w:alias w:val="2143"/>
                <w:tag w:val="2143"/>
                <w:id w:val="1647695366"/>
                <w:placeholder>
                  <w:docPart w:val="DA9FB2D3D58E415CBAB4F1FE7D719298"/>
                </w:placeholder>
                <w:text w:multiLine="1"/>
              </w:sdtPr>
              <w:sdtEndPr/>
              <w:sdtContent>
                <w:r w:rsidR="0093401D">
                  <w:rPr>
                    <w:b/>
                    <w:bCs/>
                    <w:rtl/>
                  </w:rPr>
                  <w:t>שופטת</w:t>
                </w:r>
              </w:sdtContent>
            </w:sdt>
          </w:p>
        </w:tc>
      </w:tr>
    </w:tbl>
    <w:p w:rsidR="0093401D" w:rsidRDefault="0093401D" w:rsidP="0093401D">
      <w:pPr>
        <w:spacing w:line="360" w:lineRule="auto"/>
        <w:jc w:val="both"/>
        <w:rPr>
          <w:rFonts w:ascii="David" w:hAnsi="David"/>
          <w:rtl/>
        </w:rPr>
      </w:pPr>
    </w:p>
    <w:p w:rsidR="0093401D" w:rsidRDefault="0093401D" w:rsidP="0093401D">
      <w:pPr>
        <w:rPr>
          <w:rtl/>
        </w:rPr>
      </w:pPr>
      <w:r>
        <w:rPr>
          <w:rFonts w:hint="cs"/>
          <w:rtl/>
        </w:rPr>
        <w:t>הוקלד</w:t>
      </w:r>
      <w:r>
        <w:rPr>
          <w:rFonts w:hint="cs"/>
        </w:rPr>
        <w:t xml:space="preserve"> </w:t>
      </w:r>
      <w:r>
        <w:rPr>
          <w:rFonts w:hint="cs"/>
          <w:rtl/>
        </w:rPr>
        <w:t>על</w:t>
      </w:r>
      <w:r>
        <w:rPr>
          <w:rFonts w:hint="cs"/>
        </w:rPr>
        <w:t xml:space="preserve"> </w:t>
      </w:r>
      <w:r>
        <w:rPr>
          <w:rFonts w:hint="cs"/>
          <w:rtl/>
        </w:rPr>
        <w:t>ידי</w:t>
      </w:r>
      <w:r>
        <w:rPr>
          <w:rFonts w:hint="cs"/>
        </w:rPr>
        <w:t xml:space="preserve"> </w:t>
      </w:r>
      <w:r>
        <w:rPr>
          <w:rFonts w:hint="cs"/>
          <w:rtl/>
        </w:rPr>
        <w:t>ערן</w:t>
      </w:r>
      <w:r>
        <w:rPr>
          <w:rFonts w:hint="cs"/>
        </w:rPr>
        <w:t xml:space="preserve"> </w:t>
      </w:r>
      <w:r>
        <w:rPr>
          <w:rFonts w:hint="cs"/>
          <w:rtl/>
        </w:rPr>
        <w:t>רבל</w:t>
      </w: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ה' אב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23 יולי 2023</w:t>
          </w:r>
        </w:sdtContent>
      </w:sdt>
      <w:r w:rsidRPr="000F2247">
        <w:rPr>
          <w:rFonts w:ascii="Arial" w:hAnsi="Arial"/>
          <w:b/>
          <w:bCs/>
          <w:sz w:val="26"/>
          <w:szCs w:val="26"/>
          <w:rtl/>
        </w:rPr>
        <w:t>, בהעדר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464966">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072659182"/>
        </w:sdtPr>
        <w:sdtEndPr/>
        <w:sdtContent>
          <w:r w:rsidR="00653610">
            <w:rPr>
              <w:noProof/>
            </w:rPr>
            <w:drawing>
              <wp:inline distT="0" distB="0" distL="0" distR="0" wp14:editId="50D07946">
                <wp:extent cx="1485900"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485900" cy="1066800"/>
                        </a:xfrm>
                        <a:prstGeom prst="rect">
                          <a:avLst/>
                        </a:prstGeom>
                      </pic:spPr>
                    </pic:pic>
                  </a:graphicData>
                </a:graphic>
              </wp:inline>
            </w:drawing>
          </w:r>
        </w:sdtContent>
      </w:sdt>
    </w:p>
    <w:p w:rsidR="00507694" w:rsidRPr="000F2247" w:rsidRDefault="00507694" w:rsidP="00464966">
      <w:pPr>
        <w:rPr>
          <w:rFonts w:ascii="Arial" w:hAnsi="Arial"/>
          <w:b/>
          <w:bCs/>
          <w:sz w:val="26"/>
          <w:szCs w:val="26"/>
          <w:rtl/>
        </w:rPr>
      </w:pPr>
    </w:p>
    <w:sectPr w:rsidR="00507694" w:rsidRPr="000F2247" w:rsidSect="00507694">
      <w:headerReference w:type="default" r:id="rId12"/>
      <w:footerReference w:type="even" r:id="rId13"/>
      <w:footerReference w:type="defaul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694" w:rsidRDefault="00684E84">
      <w:r>
        <w:separator/>
      </w:r>
    </w:p>
  </w:endnote>
  <w:endnote w:type="continuationSeparator" w:id="0">
    <w:p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F97242">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F97242">
      <w:rPr>
        <w:noProof/>
        <w:rtl/>
      </w:rPr>
      <w:t>7</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694" w:rsidRDefault="00684E84">
      <w:r>
        <w:separator/>
      </w:r>
    </w:p>
  </w:footnote>
  <w:footnote w:type="continuationSeparator" w:id="0">
    <w:p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4"/>
      <w:gridCol w:w="3571"/>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לנוער בבית משפט השלום בנצרת</w:t>
              </w:r>
            </w:p>
          </w:tc>
        </w:sdtContent>
      </w:sdt>
    </w:tr>
    <w:tr w:rsidR="00507694">
      <w:trPr>
        <w:trHeight w:val="337"/>
        <w:jc w:val="center"/>
      </w:trPr>
      <w:tc>
        <w:tcPr>
          <w:tcW w:w="5131" w:type="dxa"/>
        </w:tcPr>
        <w:p w:rsidR="00507694" w:rsidRDefault="00F97242" w:rsidP="0093401D">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7448-07-19</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 xml:space="preserve">מדינת ישראל נ' </w:t>
              </w:r>
              <w:r w:rsidR="0093401D">
                <w:rPr>
                  <w:rFonts w:cs="FrankRuehl" w:hint="cs"/>
                  <w:sz w:val="28"/>
                  <w:szCs w:val="28"/>
                  <w:rtl/>
                </w:rPr>
                <w:t>פלוני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50B1E65"/>
    <w:multiLevelType w:val="hybridMultilevel"/>
    <w:tmpl w:val="176E53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64D442E"/>
    <w:multiLevelType w:val="hybridMultilevel"/>
    <w:tmpl w:val="C198588A"/>
    <w:lvl w:ilvl="0" w:tplc="FA14833E">
      <w:start w:val="1"/>
      <w:numFmt w:val="decimal"/>
      <w:lvlText w:val="%1."/>
      <w:lvlJc w:val="left"/>
      <w:pPr>
        <w:ind w:left="720" w:hanging="360"/>
      </w:pPr>
      <w:rPr>
        <w:b w:val="0"/>
        <w:bCs w:val="0"/>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575A6"/>
    <w:rsid w:val="0006726A"/>
    <w:rsid w:val="000F2247"/>
    <w:rsid w:val="00100577"/>
    <w:rsid w:val="001144A3"/>
    <w:rsid w:val="001146B4"/>
    <w:rsid w:val="001352F8"/>
    <w:rsid w:val="00212125"/>
    <w:rsid w:val="00224AC0"/>
    <w:rsid w:val="002B7D23"/>
    <w:rsid w:val="002D6C61"/>
    <w:rsid w:val="00367565"/>
    <w:rsid w:val="003D7D8A"/>
    <w:rsid w:val="003E0C9F"/>
    <w:rsid w:val="00400E84"/>
    <w:rsid w:val="004215DC"/>
    <w:rsid w:val="00464966"/>
    <w:rsid w:val="004902D6"/>
    <w:rsid w:val="004F6DBF"/>
    <w:rsid w:val="00507694"/>
    <w:rsid w:val="005C7B0B"/>
    <w:rsid w:val="00623AE9"/>
    <w:rsid w:val="006531BA"/>
    <w:rsid w:val="00653610"/>
    <w:rsid w:val="00683ABD"/>
    <w:rsid w:val="00684E84"/>
    <w:rsid w:val="00686F6D"/>
    <w:rsid w:val="006C2095"/>
    <w:rsid w:val="00706644"/>
    <w:rsid w:val="00757983"/>
    <w:rsid w:val="00803184"/>
    <w:rsid w:val="00821F29"/>
    <w:rsid w:val="00822550"/>
    <w:rsid w:val="00827622"/>
    <w:rsid w:val="00832D73"/>
    <w:rsid w:val="00863083"/>
    <w:rsid w:val="008819B4"/>
    <w:rsid w:val="008B50E3"/>
    <w:rsid w:val="0093401D"/>
    <w:rsid w:val="00947B38"/>
    <w:rsid w:val="009705CC"/>
    <w:rsid w:val="009A730D"/>
    <w:rsid w:val="009E35A7"/>
    <w:rsid w:val="009E49A1"/>
    <w:rsid w:val="009F504D"/>
    <w:rsid w:val="00A504C4"/>
    <w:rsid w:val="00B05847"/>
    <w:rsid w:val="00B22E0A"/>
    <w:rsid w:val="00BD67E7"/>
    <w:rsid w:val="00BE0015"/>
    <w:rsid w:val="00C02463"/>
    <w:rsid w:val="00C45023"/>
    <w:rsid w:val="00C55E62"/>
    <w:rsid w:val="00C572E8"/>
    <w:rsid w:val="00D065B2"/>
    <w:rsid w:val="00D202F4"/>
    <w:rsid w:val="00D3203D"/>
    <w:rsid w:val="00E2131F"/>
    <w:rsid w:val="00E70F9C"/>
    <w:rsid w:val="00ED4465"/>
    <w:rsid w:val="00F015B1"/>
    <w:rsid w:val="00F06F85"/>
    <w:rsid w:val="00F75AFC"/>
    <w:rsid w:val="00F97242"/>
    <w:rsid w:val="00FA4208"/>
    <w:rsid w:val="00FD29B5"/>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styleId="Hyperlink">
    <w:name w:val="Hyperlink"/>
    <w:basedOn w:val="a0"/>
    <w:uiPriority w:val="99"/>
    <w:semiHidden/>
    <w:unhideWhenUsed/>
    <w:rsid w:val="0093401D"/>
    <w:rPr>
      <w:color w:val="0563C1"/>
      <w:u w:val="single"/>
    </w:rPr>
  </w:style>
  <w:style w:type="paragraph" w:styleId="ab">
    <w:name w:val="List Paragraph"/>
    <w:basedOn w:val="a"/>
    <w:uiPriority w:val="34"/>
    <w:qFormat/>
    <w:rsid w:val="0093401D"/>
    <w:pPr>
      <w:spacing w:after="160" w:line="252" w:lineRule="auto"/>
      <w:ind w:left="720"/>
      <w:contextualSpacing/>
    </w:pPr>
    <w:rPr>
      <w:rFonts w:ascii="Calibri" w:eastAsiaTheme="minorHAnsi" w:hAnsi="Calibri" w:cs="Calibri"/>
      <w:sz w:val="22"/>
      <w:szCs w:val="22"/>
    </w:rPr>
  </w:style>
  <w:style w:type="paragraph" w:customStyle="1" w:styleId="12">
    <w:name w:val="רגיל + ‏12 נק'"/>
    <w:aliases w:val="מיושר לשני הצדדים,מרווח בין שורות:  שורה וחצי"/>
    <w:basedOn w:val="a"/>
    <w:rsid w:val="0093401D"/>
    <w:rPr>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49328206">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034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nevo.co.il/case/2237972"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55583B" w:rsidP="0055583B">
          <w:pPr>
            <w:pStyle w:val="4C499F2ED676413B965A992DD16BA9681"/>
          </w:pPr>
          <w:r>
            <w:rPr>
              <w:rFonts w:ascii="Arial" w:hAnsi="Arial" w:hint="cs"/>
              <w:b/>
              <w:bCs/>
              <w:sz w:val="26"/>
              <w:szCs w:val="26"/>
              <w:rtl/>
            </w:rPr>
            <w:t xml:space="preserve">    </w:t>
          </w:r>
        </w:p>
      </w:docPartBody>
    </w:docPart>
    <w:docPart>
      <w:docPartPr>
        <w:name w:val="55239A18A8F940B795403C6CD13205A8"/>
        <w:category>
          <w:name w:val="כללי"/>
          <w:gallery w:val="placeholder"/>
        </w:category>
        <w:types>
          <w:type w:val="bbPlcHdr"/>
        </w:types>
        <w:behaviors>
          <w:behavior w:val="content"/>
        </w:behaviors>
        <w:guid w:val="{21CA9D7E-6F38-454E-B4FC-86E90869DADD}"/>
      </w:docPartPr>
      <w:docPartBody>
        <w:p w:rsidR="00A539CA" w:rsidRDefault="0055583B" w:rsidP="0055583B">
          <w:pPr>
            <w:pStyle w:val="55239A18A8F940B795403C6CD13205A8"/>
          </w:pPr>
          <w:r>
            <w:rPr>
              <w:rFonts w:cs="David"/>
              <w:b/>
              <w:bCs/>
              <w:rtl/>
            </w:rPr>
            <w:t>שם פרטי חותם</w:t>
          </w:r>
        </w:p>
      </w:docPartBody>
    </w:docPart>
    <w:docPart>
      <w:docPartPr>
        <w:name w:val="5D586ABC508C47CB83BC0263861645B0"/>
        <w:category>
          <w:name w:val="כללי"/>
          <w:gallery w:val="placeholder"/>
        </w:category>
        <w:types>
          <w:type w:val="bbPlcHdr"/>
        </w:types>
        <w:behaviors>
          <w:behavior w:val="content"/>
        </w:behaviors>
        <w:guid w:val="{A6AE16A2-ED8C-48C4-8E35-D92B6DCA23BF}"/>
      </w:docPartPr>
      <w:docPartBody>
        <w:p w:rsidR="00A539CA" w:rsidRDefault="0055583B" w:rsidP="0055583B">
          <w:pPr>
            <w:pStyle w:val="5D586ABC508C47CB83BC0263861645B0"/>
          </w:pPr>
          <w:r>
            <w:rPr>
              <w:rFonts w:cs="David"/>
              <w:b/>
              <w:bCs/>
              <w:rtl/>
            </w:rPr>
            <w:t>שם משפחה חותם</w:t>
          </w:r>
        </w:p>
      </w:docPartBody>
    </w:docPart>
    <w:docPart>
      <w:docPartPr>
        <w:name w:val="DA9FB2D3D58E415CBAB4F1FE7D719298"/>
        <w:category>
          <w:name w:val="כללי"/>
          <w:gallery w:val="placeholder"/>
        </w:category>
        <w:types>
          <w:type w:val="bbPlcHdr"/>
        </w:types>
        <w:behaviors>
          <w:behavior w:val="content"/>
        </w:behaviors>
        <w:guid w:val="{9B585ABD-2E91-496A-B584-C46A71B368C9}"/>
      </w:docPartPr>
      <w:docPartBody>
        <w:p w:rsidR="00A539CA" w:rsidRDefault="0055583B" w:rsidP="0055583B">
          <w:pPr>
            <w:pStyle w:val="DA9FB2D3D58E415CBAB4F1FE7D719298"/>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55583B"/>
    <w:rsid w:val="00604245"/>
    <w:rsid w:val="00A539CA"/>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55583B"/>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55583B"/>
    <w:pPr>
      <w:bidi/>
      <w:spacing w:after="0" w:line="240" w:lineRule="auto"/>
    </w:pPr>
    <w:rPr>
      <w:rFonts w:ascii="Times New Roman" w:eastAsia="Times New Roman" w:hAnsi="Times New Roman" w:cs="David"/>
      <w:sz w:val="24"/>
      <w:szCs w:val="24"/>
    </w:rPr>
  </w:style>
  <w:style w:type="paragraph" w:customStyle="1" w:styleId="55239A18A8F940B795403C6CD13205A8">
    <w:name w:val="55239A18A8F940B795403C6CD13205A8"/>
    <w:rsid w:val="0055583B"/>
    <w:pPr>
      <w:bidi/>
    </w:pPr>
  </w:style>
  <w:style w:type="paragraph" w:customStyle="1" w:styleId="5D586ABC508C47CB83BC0263861645B0">
    <w:name w:val="5D586ABC508C47CB83BC0263861645B0"/>
    <w:rsid w:val="0055583B"/>
    <w:pPr>
      <w:bidi/>
    </w:pPr>
  </w:style>
  <w:style w:type="paragraph" w:customStyle="1" w:styleId="DA9FB2D3D58E415CBAB4F1FE7D719298">
    <w:name w:val="DA9FB2D3D58E415CBAB4F1FE7D719298"/>
    <w:rsid w:val="0055583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1764</Words>
  <Characters>8820</Characters>
  <Application>Microsoft Office Word</Application>
  <DocSecurity>4</DocSecurity>
  <Lines>73</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2</cp:revision>
  <dcterms:created xsi:type="dcterms:W3CDTF">2023-08-03T06:30:00Z</dcterms:created>
  <dcterms:modified xsi:type="dcterms:W3CDTF">2023-08-03T06:30:00Z</dcterms:modified>
</cp:coreProperties>
</file>